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36554A" w:rsidRPr="0036554A" w:rsidTr="00F603F4">
        <w:trPr>
          <w:cantSplit/>
          <w:trHeight w:hRule="exact" w:val="851"/>
        </w:trPr>
        <w:tc>
          <w:tcPr>
            <w:tcW w:w="1276" w:type="dxa"/>
            <w:tcBorders>
              <w:bottom w:val="single" w:sz="4" w:space="0" w:color="auto"/>
            </w:tcBorders>
            <w:vAlign w:val="bottom"/>
          </w:tcPr>
          <w:p w:rsidR="00165C15" w:rsidRPr="0036554A" w:rsidRDefault="00165C15" w:rsidP="00F603F4">
            <w:pPr>
              <w:spacing w:after="80"/>
              <w:rPr>
                <w:lang w:val="es-ES"/>
              </w:rPr>
            </w:pPr>
            <w:bookmarkStart w:id="0" w:name="_GoBack"/>
            <w:bookmarkEnd w:id="0"/>
          </w:p>
        </w:tc>
        <w:tc>
          <w:tcPr>
            <w:tcW w:w="2268" w:type="dxa"/>
            <w:tcBorders>
              <w:bottom w:val="single" w:sz="4" w:space="0" w:color="auto"/>
            </w:tcBorders>
            <w:vAlign w:val="bottom"/>
          </w:tcPr>
          <w:p w:rsidR="00165C15" w:rsidRPr="0036554A" w:rsidRDefault="003A3F12" w:rsidP="00F603F4">
            <w:pPr>
              <w:spacing w:after="80" w:line="300" w:lineRule="exact"/>
              <w:rPr>
                <w:b/>
                <w:sz w:val="24"/>
                <w:szCs w:val="24"/>
                <w:lang w:val="es-ES"/>
              </w:rPr>
            </w:pPr>
            <w:r w:rsidRPr="0036554A">
              <w:rPr>
                <w:sz w:val="28"/>
                <w:lang w:val="es-ES"/>
              </w:rPr>
              <w:t>Naciones Unidas</w:t>
            </w:r>
          </w:p>
        </w:tc>
        <w:tc>
          <w:tcPr>
            <w:tcW w:w="6095" w:type="dxa"/>
            <w:gridSpan w:val="2"/>
            <w:tcBorders>
              <w:bottom w:val="single" w:sz="4" w:space="0" w:color="auto"/>
            </w:tcBorders>
            <w:vAlign w:val="bottom"/>
          </w:tcPr>
          <w:p w:rsidR="00165C15" w:rsidRPr="0036554A" w:rsidRDefault="006A31AE" w:rsidP="00621993">
            <w:pPr>
              <w:suppressAutoHyphens w:val="0"/>
              <w:spacing w:after="20"/>
              <w:jc w:val="right"/>
              <w:rPr>
                <w:sz w:val="40"/>
                <w:lang w:val="es-ES"/>
              </w:rPr>
            </w:pPr>
            <w:r w:rsidRPr="0036554A">
              <w:rPr>
                <w:sz w:val="40"/>
                <w:lang w:val="es-ES"/>
              </w:rPr>
              <w:t>CCPR</w:t>
            </w:r>
            <w:r w:rsidRPr="0036554A">
              <w:rPr>
                <w:lang w:val="es-ES"/>
              </w:rPr>
              <w:t>/C/</w:t>
            </w:r>
            <w:r w:rsidR="00241FF4">
              <w:rPr>
                <w:lang w:val="es-ES"/>
              </w:rPr>
              <w:t>1</w:t>
            </w:r>
            <w:r w:rsidR="004D300F">
              <w:rPr>
                <w:lang w:val="es-ES"/>
              </w:rPr>
              <w:t>26</w:t>
            </w:r>
            <w:r w:rsidRPr="0036554A">
              <w:rPr>
                <w:lang w:val="es-ES"/>
              </w:rPr>
              <w:t>/D/</w:t>
            </w:r>
            <w:r w:rsidR="006F2493">
              <w:rPr>
                <w:lang w:val="es-ES"/>
              </w:rPr>
              <w:t>2751</w:t>
            </w:r>
            <w:r w:rsidRPr="0036554A">
              <w:rPr>
                <w:lang w:val="es-ES"/>
              </w:rPr>
              <w:t>/</w:t>
            </w:r>
            <w:r w:rsidR="004D300F">
              <w:rPr>
                <w:lang w:val="es-ES"/>
              </w:rPr>
              <w:t>2016</w:t>
            </w:r>
          </w:p>
        </w:tc>
      </w:tr>
      <w:tr w:rsidR="0036554A" w:rsidRPr="007963FB" w:rsidTr="004A72F6">
        <w:trPr>
          <w:cantSplit/>
          <w:trHeight w:hRule="exact" w:val="2835"/>
        </w:trPr>
        <w:tc>
          <w:tcPr>
            <w:tcW w:w="1276" w:type="dxa"/>
            <w:tcBorders>
              <w:top w:val="single" w:sz="4" w:space="0" w:color="auto"/>
              <w:bottom w:val="single" w:sz="12" w:space="0" w:color="auto"/>
            </w:tcBorders>
          </w:tcPr>
          <w:p w:rsidR="00165C15" w:rsidRPr="0036554A" w:rsidRDefault="00165C15" w:rsidP="00F603F4">
            <w:pPr>
              <w:spacing w:before="120"/>
              <w:rPr>
                <w:lang w:val="es-ES"/>
              </w:rPr>
            </w:pPr>
            <w:r w:rsidRPr="0036554A">
              <w:rPr>
                <w:noProof/>
                <w:lang w:eastAsia="en-GB"/>
              </w:rPr>
              <w:drawing>
                <wp:inline distT="0" distB="0" distL="0" distR="0" wp14:anchorId="5572A44E" wp14:editId="5572A44F">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Default="003A3F12" w:rsidP="00F603F4">
            <w:pPr>
              <w:spacing w:before="120" w:line="380" w:lineRule="exact"/>
              <w:rPr>
                <w:b/>
                <w:sz w:val="34"/>
                <w:szCs w:val="34"/>
                <w:lang w:val="es-ES"/>
              </w:rPr>
            </w:pPr>
            <w:r w:rsidRPr="00280BCD">
              <w:rPr>
                <w:b/>
                <w:sz w:val="34"/>
                <w:szCs w:val="34"/>
                <w:lang w:val="es-ES"/>
              </w:rPr>
              <w:t>Pacto Internacional de Derechos</w:t>
            </w:r>
            <w:r w:rsidRPr="00280BCD">
              <w:rPr>
                <w:b/>
                <w:sz w:val="34"/>
                <w:szCs w:val="34"/>
                <w:lang w:val="es-ES"/>
              </w:rPr>
              <w:br/>
              <w:t>Civiles y Políticos</w:t>
            </w:r>
          </w:p>
          <w:p w:rsidR="007963FB" w:rsidRDefault="007963FB" w:rsidP="00F603F4">
            <w:pPr>
              <w:spacing w:before="120" w:line="380" w:lineRule="exact"/>
              <w:rPr>
                <w:b/>
                <w:sz w:val="34"/>
                <w:szCs w:val="34"/>
                <w:lang w:val="es-ES"/>
              </w:rPr>
            </w:pPr>
          </w:p>
          <w:p w:rsidR="007963FB" w:rsidRPr="00314B3F" w:rsidRDefault="005C67D9" w:rsidP="00F603F4">
            <w:pPr>
              <w:spacing w:before="120" w:line="380" w:lineRule="exact"/>
              <w:rPr>
                <w:b/>
                <w:sz w:val="34"/>
              </w:rPr>
            </w:pPr>
            <w:r>
              <w:rPr>
                <w:b/>
                <w:sz w:val="34"/>
                <w:szCs w:val="34"/>
                <w:lang w:val="es-ES_tradnl"/>
              </w:rPr>
              <w:t>Edición avanzada sin editar</w:t>
            </w:r>
          </w:p>
        </w:tc>
        <w:tc>
          <w:tcPr>
            <w:tcW w:w="2835" w:type="dxa"/>
            <w:tcBorders>
              <w:top w:val="single" w:sz="4" w:space="0" w:color="auto"/>
              <w:bottom w:val="single" w:sz="12" w:space="0" w:color="auto"/>
            </w:tcBorders>
          </w:tcPr>
          <w:p w:rsidR="00165C15" w:rsidRPr="0036554A" w:rsidRDefault="006A31AE" w:rsidP="00F603F4">
            <w:pPr>
              <w:suppressAutoHyphens w:val="0"/>
              <w:spacing w:before="240" w:line="240" w:lineRule="exact"/>
              <w:rPr>
                <w:lang w:val="es-ES"/>
              </w:rPr>
            </w:pPr>
            <w:proofErr w:type="spellStart"/>
            <w:r w:rsidRPr="0036554A">
              <w:rPr>
                <w:lang w:val="es-ES"/>
              </w:rPr>
              <w:t>Distr</w:t>
            </w:r>
            <w:proofErr w:type="spellEnd"/>
            <w:r w:rsidRPr="0036554A">
              <w:rPr>
                <w:lang w:val="es-ES"/>
              </w:rPr>
              <w:t xml:space="preserve">.: </w:t>
            </w:r>
            <w:r w:rsidR="007963FB">
              <w:rPr>
                <w:lang w:val="es-ES"/>
              </w:rPr>
              <w:t>general</w:t>
            </w:r>
          </w:p>
          <w:p w:rsidR="006A31AE" w:rsidRPr="0036554A" w:rsidRDefault="004A6C74" w:rsidP="00F603F4">
            <w:pPr>
              <w:suppressAutoHyphens w:val="0"/>
              <w:rPr>
                <w:lang w:val="es-ES"/>
              </w:rPr>
            </w:pPr>
            <w:r>
              <w:rPr>
                <w:lang w:val="es-ES"/>
              </w:rPr>
              <w:t>9</w:t>
            </w:r>
            <w:r w:rsidR="00427090">
              <w:rPr>
                <w:lang w:val="es-ES"/>
              </w:rPr>
              <w:t xml:space="preserve"> </w:t>
            </w:r>
            <w:r w:rsidR="00007559">
              <w:rPr>
                <w:lang w:val="es-ES"/>
              </w:rPr>
              <w:t xml:space="preserve">de </w:t>
            </w:r>
            <w:r w:rsidR="002660F4">
              <w:rPr>
                <w:lang w:val="es-ES"/>
              </w:rPr>
              <w:t xml:space="preserve">agosto </w:t>
            </w:r>
            <w:r w:rsidR="00856798">
              <w:rPr>
                <w:lang w:val="es-ES"/>
              </w:rPr>
              <w:t>de 2019</w:t>
            </w:r>
          </w:p>
          <w:p w:rsidR="006A31AE" w:rsidRPr="00280BCD" w:rsidRDefault="006A31AE" w:rsidP="00F603F4">
            <w:pPr>
              <w:suppressAutoHyphens w:val="0"/>
              <w:rPr>
                <w:lang w:val="es-ES"/>
              </w:rPr>
            </w:pPr>
          </w:p>
          <w:p w:rsidR="006A31AE" w:rsidRDefault="006A31AE" w:rsidP="003A3F12">
            <w:pPr>
              <w:suppressAutoHyphens w:val="0"/>
              <w:rPr>
                <w:lang w:val="es-ES"/>
              </w:rPr>
            </w:pPr>
            <w:r w:rsidRPr="0036554A">
              <w:rPr>
                <w:lang w:val="es-ES"/>
              </w:rPr>
              <w:t xml:space="preserve">Original: </w:t>
            </w:r>
            <w:r w:rsidR="003A3F12" w:rsidRPr="0036554A">
              <w:rPr>
                <w:lang w:val="es-ES"/>
              </w:rPr>
              <w:t>español</w:t>
            </w:r>
          </w:p>
          <w:p w:rsidR="00DE7918" w:rsidRPr="00DE7918" w:rsidRDefault="00DE7918" w:rsidP="003A3F12">
            <w:pPr>
              <w:suppressAutoHyphens w:val="0"/>
              <w:rPr>
                <w:lang w:val="es-ES"/>
              </w:rPr>
            </w:pPr>
          </w:p>
        </w:tc>
      </w:tr>
    </w:tbl>
    <w:p w:rsidR="00997D8D" w:rsidRPr="0036554A" w:rsidRDefault="00997D8D" w:rsidP="00997D8D">
      <w:pPr>
        <w:spacing w:before="120"/>
        <w:rPr>
          <w:b/>
          <w:sz w:val="24"/>
          <w:szCs w:val="24"/>
          <w:lang w:val="es-ES"/>
        </w:rPr>
      </w:pPr>
      <w:r w:rsidRPr="0036554A">
        <w:rPr>
          <w:b/>
          <w:sz w:val="24"/>
          <w:szCs w:val="24"/>
          <w:lang w:val="es-ES"/>
        </w:rPr>
        <w:t>Comité de Derechos Humanos</w:t>
      </w:r>
    </w:p>
    <w:p w:rsidR="006A31AE" w:rsidRPr="0036554A" w:rsidRDefault="006A31AE" w:rsidP="000D7494">
      <w:pPr>
        <w:pStyle w:val="HChG"/>
        <w:rPr>
          <w:lang w:val="es-ES"/>
        </w:rPr>
      </w:pPr>
      <w:r w:rsidRPr="0036554A">
        <w:rPr>
          <w:lang w:val="es-ES"/>
        </w:rPr>
        <w:tab/>
      </w:r>
      <w:r w:rsidRPr="0036554A">
        <w:rPr>
          <w:lang w:val="es-ES"/>
        </w:rPr>
        <w:tab/>
      </w:r>
      <w:r w:rsidR="007963FB">
        <w:rPr>
          <w:lang w:val="es-ES"/>
        </w:rPr>
        <w:t>Dictamen aprobado por el Comité al tenor del artículo 5, párrafo 4, del Protocolo Facultativo, respecto de la c</w:t>
      </w:r>
      <w:r w:rsidR="00F40CA5" w:rsidRPr="0036554A">
        <w:rPr>
          <w:lang w:val="es-ES"/>
        </w:rPr>
        <w:t>omunicación</w:t>
      </w:r>
      <w:r w:rsidRPr="0036554A">
        <w:rPr>
          <w:lang w:val="es-ES"/>
        </w:rPr>
        <w:t xml:space="preserve"> </w:t>
      </w:r>
      <w:r w:rsidR="007963FB">
        <w:rPr>
          <w:lang w:val="es-ES"/>
        </w:rPr>
        <w:t>n</w:t>
      </w:r>
      <w:r w:rsidR="0036554A">
        <w:rPr>
          <w:lang w:val="es-ES"/>
        </w:rPr>
        <w:t>úm</w:t>
      </w:r>
      <w:r w:rsidRPr="0036554A">
        <w:rPr>
          <w:lang w:val="es-ES"/>
        </w:rPr>
        <w:t xml:space="preserve">. </w:t>
      </w:r>
      <w:r w:rsidR="007F000F">
        <w:rPr>
          <w:lang w:val="es-ES"/>
        </w:rPr>
        <w:t>2751</w:t>
      </w:r>
      <w:r w:rsidRPr="0036554A">
        <w:rPr>
          <w:lang w:val="es-ES"/>
        </w:rPr>
        <w:t>/</w:t>
      </w:r>
      <w:r w:rsidR="000D4558">
        <w:rPr>
          <w:lang w:val="es-ES"/>
        </w:rPr>
        <w:t>2016</w:t>
      </w:r>
      <w:r w:rsidR="00DB5A39" w:rsidRPr="0036554A">
        <w:rPr>
          <w:rStyle w:val="FootnoteReference"/>
          <w:sz w:val="20"/>
          <w:vertAlign w:val="baseline"/>
          <w:lang w:val="es-ES"/>
        </w:rPr>
        <w:footnoteReference w:customMarkFollows="1" w:id="1"/>
        <w:t>*</w:t>
      </w:r>
      <w:r w:rsidR="00DB5A39">
        <w:rPr>
          <w:lang w:val="es-ES"/>
        </w:rPr>
        <w:t>,</w:t>
      </w:r>
      <w:r w:rsidR="00DB5A39" w:rsidRPr="000F36FE">
        <w:rPr>
          <w:rStyle w:val="FootnoteReference"/>
          <w:bCs/>
          <w:sz w:val="20"/>
          <w:vertAlign w:val="baseline"/>
          <w:lang w:val="es-ES"/>
        </w:rPr>
        <w:footnoteReference w:customMarkFollows="1" w:id="2"/>
        <w:t>**</w:t>
      </w:r>
    </w:p>
    <w:p w:rsidR="006A31AE" w:rsidRPr="0036554A" w:rsidRDefault="006A31AE" w:rsidP="000D7494">
      <w:pPr>
        <w:pStyle w:val="H1G"/>
        <w:rPr>
          <w:rFonts w:eastAsia="MS Mincho"/>
          <w:lang w:val="es-ES"/>
        </w:rPr>
      </w:pPr>
      <w:r w:rsidRPr="0036554A">
        <w:rPr>
          <w:rFonts w:eastAsia="MS Mincho"/>
          <w:lang w:val="es-ES"/>
        </w:rPr>
        <w:tab/>
      </w:r>
      <w:r w:rsidRPr="0036554A">
        <w:rPr>
          <w:rFonts w:eastAsia="MS Mincho"/>
          <w:lang w:val="es-ES"/>
        </w:rPr>
        <w:tab/>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44"/>
        <w:gridCol w:w="3260"/>
      </w:tblGrid>
      <w:tr w:rsidR="0036554A" w:rsidRPr="00D6670B" w:rsidTr="000D7494">
        <w:tc>
          <w:tcPr>
            <w:tcW w:w="3544" w:type="dxa"/>
          </w:tcPr>
          <w:p w:rsidR="006A31AE" w:rsidRPr="0036554A" w:rsidRDefault="0013341D" w:rsidP="000D7494">
            <w:pPr>
              <w:pStyle w:val="SingleTxtG"/>
              <w:ind w:left="0" w:right="0" w:firstLine="3"/>
              <w:jc w:val="left"/>
              <w:rPr>
                <w:i/>
                <w:lang w:val="es-ES"/>
              </w:rPr>
            </w:pPr>
            <w:r w:rsidRPr="0036554A">
              <w:rPr>
                <w:i/>
                <w:lang w:val="es-ES"/>
              </w:rPr>
              <w:t>Comunicación</w:t>
            </w:r>
            <w:r w:rsidR="006A31AE" w:rsidRPr="0036554A">
              <w:rPr>
                <w:i/>
                <w:lang w:val="es-ES"/>
              </w:rPr>
              <w:t xml:space="preserve"> </w:t>
            </w:r>
            <w:r w:rsidRPr="0036554A">
              <w:rPr>
                <w:i/>
                <w:lang w:val="es-ES"/>
              </w:rPr>
              <w:t>presentada</w:t>
            </w:r>
            <w:r w:rsidR="006A31AE" w:rsidRPr="0036554A">
              <w:rPr>
                <w:i/>
                <w:lang w:val="es-ES"/>
              </w:rPr>
              <w:t xml:space="preserve"> </w:t>
            </w:r>
            <w:r w:rsidRPr="0036554A">
              <w:rPr>
                <w:i/>
                <w:lang w:val="es-ES"/>
              </w:rPr>
              <w:t>por</w:t>
            </w:r>
            <w:r w:rsidR="006A31AE" w:rsidRPr="0036554A">
              <w:rPr>
                <w:i/>
                <w:lang w:val="es-ES"/>
              </w:rPr>
              <w:t>:</w:t>
            </w:r>
          </w:p>
        </w:tc>
        <w:tc>
          <w:tcPr>
            <w:tcW w:w="3260" w:type="dxa"/>
          </w:tcPr>
          <w:p w:rsidR="006A31AE" w:rsidRPr="00A20521" w:rsidRDefault="00C55AC2" w:rsidP="006A3749">
            <w:pPr>
              <w:pStyle w:val="SingleTxtG"/>
              <w:ind w:left="0" w:right="0"/>
              <w:rPr>
                <w:lang w:val="es-ES"/>
              </w:rPr>
            </w:pPr>
            <w:r w:rsidRPr="00A20521">
              <w:rPr>
                <w:lang w:val="es-ES"/>
              </w:rPr>
              <w:t>Norma Portillo Cáceres</w:t>
            </w:r>
            <w:r w:rsidR="00406A4C" w:rsidRPr="00A20521">
              <w:rPr>
                <w:lang w:val="es-ES"/>
              </w:rPr>
              <w:t xml:space="preserve"> (en nombre propio y en nombre de su hermano fallecido, Rubén Portillo Cáceres)</w:t>
            </w:r>
            <w:r w:rsidRPr="00A20521">
              <w:rPr>
                <w:lang w:val="es-ES"/>
              </w:rPr>
              <w:t>, Hermenegilda</w:t>
            </w:r>
            <w:r w:rsidR="00406A4C" w:rsidRPr="00A20521">
              <w:rPr>
                <w:lang w:val="es-ES"/>
              </w:rPr>
              <w:t xml:space="preserve"> Cáceres, Isabel Bordón Ramírez</w:t>
            </w:r>
            <w:r w:rsidRPr="00A20521">
              <w:rPr>
                <w:lang w:val="es-ES"/>
              </w:rPr>
              <w:t xml:space="preserve"> </w:t>
            </w:r>
            <w:r w:rsidR="00406A4C" w:rsidRPr="00A20521">
              <w:rPr>
                <w:lang w:val="es-ES"/>
              </w:rPr>
              <w:t xml:space="preserve">(en nombre propio y en nombre de su hijo menor, </w:t>
            </w:r>
            <w:r w:rsidRPr="00A20521">
              <w:rPr>
                <w:lang w:val="es-ES"/>
              </w:rPr>
              <w:t>Diego Rubén Portillo Bordón</w:t>
            </w:r>
            <w:r w:rsidR="00406A4C" w:rsidRPr="00A20521">
              <w:rPr>
                <w:lang w:val="es-ES"/>
              </w:rPr>
              <w:t>, hijo del fallecido)</w:t>
            </w:r>
            <w:r w:rsidRPr="00A20521">
              <w:rPr>
                <w:lang w:val="es-ES"/>
              </w:rPr>
              <w:t xml:space="preserve">, Ruperto Bordón Juárez, Ignacio Bordón Ramírez, </w:t>
            </w:r>
            <w:proofErr w:type="spellStart"/>
            <w:r w:rsidR="00265E1D" w:rsidRPr="00A20521">
              <w:rPr>
                <w:lang w:val="es-ES"/>
              </w:rPr>
              <w:t>Caferino</w:t>
            </w:r>
            <w:proofErr w:type="spellEnd"/>
            <w:r w:rsidR="00265E1D" w:rsidRPr="00A20521">
              <w:rPr>
                <w:lang w:val="es-ES"/>
              </w:rPr>
              <w:t xml:space="preserve"> Bordón Ramírez</w:t>
            </w:r>
            <w:r w:rsidR="00265E1D">
              <w:rPr>
                <w:lang w:val="es-ES"/>
              </w:rPr>
              <w:t>,</w:t>
            </w:r>
            <w:r w:rsidR="00265E1D" w:rsidRPr="00A20521">
              <w:rPr>
                <w:lang w:val="es-ES"/>
              </w:rPr>
              <w:t xml:space="preserve"> </w:t>
            </w:r>
            <w:r w:rsidRPr="00A20521">
              <w:rPr>
                <w:lang w:val="es-ES"/>
              </w:rPr>
              <w:t>Jos</w:t>
            </w:r>
            <w:r w:rsidR="006825B3">
              <w:rPr>
                <w:lang w:val="es-ES"/>
              </w:rPr>
              <w:t>é Bordón Ramírez, Alicia Aranda</w:t>
            </w:r>
            <w:r w:rsidRPr="00A20521">
              <w:rPr>
                <w:lang w:val="es-ES"/>
              </w:rPr>
              <w:t xml:space="preserve"> </w:t>
            </w:r>
            <w:r w:rsidR="009973BD">
              <w:rPr>
                <w:lang w:val="es-ES"/>
              </w:rPr>
              <w:t>(en nombre</w:t>
            </w:r>
            <w:r w:rsidR="006825B3">
              <w:rPr>
                <w:lang w:val="es-ES"/>
              </w:rPr>
              <w:t xml:space="preserve"> propio y en nombre de su </w:t>
            </w:r>
            <w:r w:rsidR="006825B3" w:rsidRPr="006825B3">
              <w:rPr>
                <w:lang w:val="es-ES"/>
              </w:rPr>
              <w:t xml:space="preserve">hijo menor, </w:t>
            </w:r>
            <w:r w:rsidRPr="006825B3">
              <w:rPr>
                <w:lang w:val="es-ES"/>
              </w:rPr>
              <w:t>Santiago Bordón Aranda</w:t>
            </w:r>
            <w:r w:rsidR="006825B3" w:rsidRPr="006825B3">
              <w:rPr>
                <w:lang w:val="es-ES"/>
              </w:rPr>
              <w:t>)</w:t>
            </w:r>
            <w:r w:rsidRPr="006825B3">
              <w:rPr>
                <w:lang w:val="es-ES"/>
              </w:rPr>
              <w:t>,</w:t>
            </w:r>
            <w:r w:rsidR="00265E1D">
              <w:rPr>
                <w:lang w:val="es-ES"/>
              </w:rPr>
              <w:t xml:space="preserve"> Benito </w:t>
            </w:r>
            <w:proofErr w:type="spellStart"/>
            <w:r w:rsidR="00265E1D">
              <w:rPr>
                <w:lang w:val="es-ES"/>
              </w:rPr>
              <w:t>Milcíades</w:t>
            </w:r>
            <w:proofErr w:type="spellEnd"/>
            <w:r w:rsidR="00265E1D">
              <w:rPr>
                <w:lang w:val="es-ES"/>
              </w:rPr>
              <w:t xml:space="preserve"> Jara Silva</w:t>
            </w:r>
            <w:r w:rsidRPr="00A20521">
              <w:rPr>
                <w:lang w:val="es-ES"/>
              </w:rPr>
              <w:t xml:space="preserve"> </w:t>
            </w:r>
            <w:r w:rsidR="00D14549" w:rsidRPr="00A20521">
              <w:rPr>
                <w:lang w:val="es-ES"/>
              </w:rPr>
              <w:t>(</w:t>
            </w:r>
            <w:r w:rsidR="00B1630B" w:rsidRPr="00A20521">
              <w:rPr>
                <w:spacing w:val="-2"/>
                <w:lang w:val="es-ES"/>
              </w:rPr>
              <w:t>representado</w:t>
            </w:r>
            <w:r w:rsidR="009C67B2" w:rsidRPr="00A20521">
              <w:rPr>
                <w:spacing w:val="-2"/>
                <w:lang w:val="es-ES"/>
              </w:rPr>
              <w:t>s</w:t>
            </w:r>
            <w:r w:rsidR="00B1630B" w:rsidRPr="00A20521">
              <w:rPr>
                <w:spacing w:val="-2"/>
                <w:lang w:val="es-ES"/>
              </w:rPr>
              <w:t xml:space="preserve"> por</w:t>
            </w:r>
            <w:r w:rsidR="00E75F14">
              <w:rPr>
                <w:spacing w:val="-2"/>
                <w:lang w:val="es-ES"/>
              </w:rPr>
              <w:t xml:space="preserve"> </w:t>
            </w:r>
            <w:r w:rsidR="00795B0B" w:rsidRPr="00795B0B">
              <w:rPr>
                <w:spacing w:val="-2"/>
                <w:lang w:val="es-ES"/>
              </w:rPr>
              <w:t>Coordinadora de</w:t>
            </w:r>
            <w:r w:rsidR="00795B0B">
              <w:rPr>
                <w:spacing w:val="-2"/>
                <w:lang w:val="es-ES"/>
              </w:rPr>
              <w:t xml:space="preserve"> Derechos Humanos del Paraguay –CODEHUPY</w:t>
            </w:r>
            <w:r w:rsidR="00795B0B" w:rsidRPr="00795B0B">
              <w:rPr>
                <w:spacing w:val="-2"/>
                <w:lang w:val="es-ES"/>
              </w:rPr>
              <w:t>– y Base Investigaciones Sociales</w:t>
            </w:r>
            <w:r w:rsidR="00D14549" w:rsidRPr="00A20521">
              <w:rPr>
                <w:lang w:val="es-ES"/>
              </w:rPr>
              <w:t>)</w:t>
            </w:r>
          </w:p>
        </w:tc>
      </w:tr>
      <w:tr w:rsidR="0036554A" w:rsidRPr="00D6670B" w:rsidTr="000D7494">
        <w:tc>
          <w:tcPr>
            <w:tcW w:w="3544" w:type="dxa"/>
          </w:tcPr>
          <w:p w:rsidR="006A31AE" w:rsidRPr="0036554A" w:rsidRDefault="0013341D" w:rsidP="005553FD">
            <w:pPr>
              <w:pStyle w:val="SingleTxtG"/>
              <w:ind w:left="0" w:right="0"/>
              <w:jc w:val="left"/>
              <w:rPr>
                <w:i/>
                <w:lang w:val="es-ES"/>
              </w:rPr>
            </w:pPr>
            <w:r w:rsidRPr="0036554A">
              <w:rPr>
                <w:i/>
                <w:iCs/>
                <w:lang w:val="es-ES_tradnl"/>
              </w:rPr>
              <w:t>Presunta</w:t>
            </w:r>
            <w:r w:rsidR="0035576C">
              <w:rPr>
                <w:i/>
                <w:iCs/>
                <w:lang w:val="es-ES_tradnl"/>
              </w:rPr>
              <w:t>s</w:t>
            </w:r>
            <w:r w:rsidRPr="0036554A">
              <w:rPr>
                <w:i/>
                <w:iCs/>
                <w:lang w:val="es-ES_tradnl"/>
              </w:rPr>
              <w:t xml:space="preserve"> víctima</w:t>
            </w:r>
            <w:r w:rsidR="0035576C">
              <w:rPr>
                <w:i/>
                <w:iCs/>
                <w:lang w:val="es-ES_tradnl"/>
              </w:rPr>
              <w:t>s</w:t>
            </w:r>
            <w:r w:rsidR="006A31AE" w:rsidRPr="0036554A">
              <w:rPr>
                <w:i/>
                <w:lang w:val="es-ES"/>
              </w:rPr>
              <w:t>:</w:t>
            </w:r>
          </w:p>
        </w:tc>
        <w:tc>
          <w:tcPr>
            <w:tcW w:w="3260" w:type="dxa"/>
          </w:tcPr>
          <w:p w:rsidR="006A31AE" w:rsidRPr="00A20521" w:rsidRDefault="00A85FE7" w:rsidP="00756EAA">
            <w:pPr>
              <w:pStyle w:val="SingleTxtG"/>
              <w:ind w:left="0" w:right="0"/>
              <w:rPr>
                <w:lang w:val="es-ES"/>
              </w:rPr>
            </w:pPr>
            <w:r w:rsidRPr="00A20521">
              <w:rPr>
                <w:lang w:val="es-ES"/>
              </w:rPr>
              <w:t>Los autores</w:t>
            </w:r>
            <w:r w:rsidR="00406A4C" w:rsidRPr="00A20521">
              <w:rPr>
                <w:lang w:val="es-ES"/>
              </w:rPr>
              <w:t>,</w:t>
            </w:r>
            <w:r w:rsidRPr="00A20521">
              <w:rPr>
                <w:lang w:val="es-ES"/>
              </w:rPr>
              <w:t xml:space="preserve"> </w:t>
            </w:r>
            <w:r w:rsidR="00F80289">
              <w:rPr>
                <w:lang w:val="es-ES"/>
              </w:rPr>
              <w:t>los dos menores</w:t>
            </w:r>
            <w:r w:rsidR="00995298">
              <w:rPr>
                <w:lang w:val="es-ES"/>
              </w:rPr>
              <w:t xml:space="preserve"> y </w:t>
            </w:r>
            <w:r w:rsidR="00406A4C" w:rsidRPr="00A20521">
              <w:rPr>
                <w:lang w:val="es-ES"/>
              </w:rPr>
              <w:t>Rubén Portillo Cáceres</w:t>
            </w:r>
          </w:p>
        </w:tc>
      </w:tr>
      <w:tr w:rsidR="0036554A" w:rsidRPr="0036554A" w:rsidTr="000D7494">
        <w:tc>
          <w:tcPr>
            <w:tcW w:w="3544" w:type="dxa"/>
          </w:tcPr>
          <w:p w:rsidR="006A31AE" w:rsidRPr="0036554A" w:rsidRDefault="0013341D" w:rsidP="005553FD">
            <w:pPr>
              <w:pStyle w:val="SingleTxtG"/>
              <w:ind w:left="0" w:right="0"/>
              <w:jc w:val="left"/>
              <w:rPr>
                <w:i/>
                <w:lang w:val="es-ES"/>
              </w:rPr>
            </w:pPr>
            <w:r w:rsidRPr="0036554A">
              <w:rPr>
                <w:i/>
                <w:lang w:val="es-ES"/>
              </w:rPr>
              <w:t>Estado parte</w:t>
            </w:r>
            <w:r w:rsidR="006A31AE" w:rsidRPr="0036554A">
              <w:rPr>
                <w:i/>
                <w:lang w:val="es-ES"/>
              </w:rPr>
              <w:t>:</w:t>
            </w:r>
          </w:p>
        </w:tc>
        <w:tc>
          <w:tcPr>
            <w:tcW w:w="3260" w:type="dxa"/>
          </w:tcPr>
          <w:p w:rsidR="006A31AE" w:rsidRPr="0036554A" w:rsidRDefault="006F2493" w:rsidP="005553FD">
            <w:pPr>
              <w:pStyle w:val="SingleTxtG"/>
              <w:ind w:left="0" w:right="0"/>
              <w:jc w:val="left"/>
              <w:rPr>
                <w:lang w:val="es-ES"/>
              </w:rPr>
            </w:pPr>
            <w:r>
              <w:rPr>
                <w:lang w:val="es-ES_tradnl"/>
              </w:rPr>
              <w:t>Paraguay</w:t>
            </w:r>
          </w:p>
        </w:tc>
      </w:tr>
      <w:tr w:rsidR="0036554A" w:rsidRPr="0036554A" w:rsidTr="000D7494">
        <w:tc>
          <w:tcPr>
            <w:tcW w:w="3544" w:type="dxa"/>
          </w:tcPr>
          <w:p w:rsidR="006A31AE" w:rsidRPr="0036554A" w:rsidRDefault="0013341D" w:rsidP="005553FD">
            <w:pPr>
              <w:pStyle w:val="SingleTxtG"/>
              <w:ind w:left="0" w:right="0"/>
              <w:jc w:val="left"/>
              <w:rPr>
                <w:i/>
                <w:lang w:val="es-ES"/>
              </w:rPr>
            </w:pPr>
            <w:r w:rsidRPr="0036554A">
              <w:rPr>
                <w:i/>
                <w:iCs/>
                <w:lang w:val="es-ES_tradnl"/>
              </w:rPr>
              <w:t>Fecha de la comunicación</w:t>
            </w:r>
            <w:r w:rsidR="006A31AE" w:rsidRPr="0036554A">
              <w:rPr>
                <w:i/>
                <w:lang w:val="es-ES"/>
              </w:rPr>
              <w:t>:</w:t>
            </w:r>
          </w:p>
        </w:tc>
        <w:tc>
          <w:tcPr>
            <w:tcW w:w="3260" w:type="dxa"/>
          </w:tcPr>
          <w:p w:rsidR="006A31AE" w:rsidRPr="0036554A" w:rsidRDefault="006F2493" w:rsidP="006F2493">
            <w:pPr>
              <w:spacing w:after="120"/>
              <w:rPr>
                <w:lang w:val="es-ES"/>
              </w:rPr>
            </w:pPr>
            <w:r>
              <w:rPr>
                <w:lang w:val="es-ES"/>
              </w:rPr>
              <w:t>3</w:t>
            </w:r>
            <w:r w:rsidR="00B11A5A">
              <w:rPr>
                <w:lang w:val="es-ES"/>
              </w:rPr>
              <w:t>0</w:t>
            </w:r>
            <w:r w:rsidR="00442BF6" w:rsidRPr="0036554A">
              <w:rPr>
                <w:lang w:val="es-ES"/>
              </w:rPr>
              <w:t xml:space="preserve"> de </w:t>
            </w:r>
            <w:r>
              <w:rPr>
                <w:lang w:val="es-ES"/>
              </w:rPr>
              <w:t>septiembre de 2013</w:t>
            </w:r>
          </w:p>
        </w:tc>
      </w:tr>
      <w:tr w:rsidR="0036554A" w:rsidRPr="00D6670B" w:rsidTr="000D7494">
        <w:tc>
          <w:tcPr>
            <w:tcW w:w="3544" w:type="dxa"/>
          </w:tcPr>
          <w:p w:rsidR="006A31AE" w:rsidRPr="0036554A" w:rsidRDefault="00756097" w:rsidP="005553FD">
            <w:pPr>
              <w:pStyle w:val="SingleTxtG"/>
              <w:ind w:left="0" w:right="0"/>
              <w:jc w:val="left"/>
              <w:rPr>
                <w:i/>
                <w:lang w:val="es-ES"/>
              </w:rPr>
            </w:pPr>
            <w:r w:rsidRPr="0036554A">
              <w:rPr>
                <w:i/>
                <w:lang w:val="es-ES"/>
              </w:rPr>
              <w:lastRenderedPageBreak/>
              <w:t>Referencias</w:t>
            </w:r>
            <w:r w:rsidR="006A31AE" w:rsidRPr="0036554A">
              <w:rPr>
                <w:i/>
                <w:lang w:val="es-ES"/>
              </w:rPr>
              <w:t>:</w:t>
            </w:r>
          </w:p>
        </w:tc>
        <w:tc>
          <w:tcPr>
            <w:tcW w:w="3260" w:type="dxa"/>
          </w:tcPr>
          <w:p w:rsidR="006A31AE" w:rsidRPr="00AB6E49" w:rsidRDefault="00EC5141" w:rsidP="00875C05">
            <w:pPr>
              <w:pStyle w:val="SingleTxtG"/>
              <w:ind w:left="0" w:right="0"/>
              <w:rPr>
                <w:lang w:val="es-ES"/>
              </w:rPr>
            </w:pPr>
            <w:r w:rsidRPr="00AB6E49">
              <w:rPr>
                <w:lang w:val="es-ES"/>
              </w:rPr>
              <w:t>Decisión del Relator Esp</w:t>
            </w:r>
            <w:r w:rsidR="00875C05">
              <w:rPr>
                <w:lang w:val="es-ES"/>
              </w:rPr>
              <w:t>ecial con arreglo al artículo 92</w:t>
            </w:r>
            <w:r w:rsidR="00AB6E49">
              <w:rPr>
                <w:lang w:val="es-ES"/>
              </w:rPr>
              <w:t xml:space="preserve"> del </w:t>
            </w:r>
            <w:r w:rsidRPr="00AB6E49">
              <w:rPr>
                <w:lang w:val="es-ES"/>
              </w:rPr>
              <w:t>reglamento, transmitida al Estado parte el</w:t>
            </w:r>
            <w:r w:rsidR="0036554A" w:rsidRPr="00AB6E49">
              <w:rPr>
                <w:lang w:val="es-ES"/>
              </w:rPr>
              <w:t xml:space="preserve"> </w:t>
            </w:r>
            <w:r w:rsidR="00336043" w:rsidRPr="00AB6E49">
              <w:rPr>
                <w:lang w:val="es-ES"/>
              </w:rPr>
              <w:t>16</w:t>
            </w:r>
            <w:r w:rsidR="0036554A" w:rsidRPr="00AB6E49">
              <w:rPr>
                <w:lang w:val="es-ES"/>
              </w:rPr>
              <w:t xml:space="preserve"> de </w:t>
            </w:r>
            <w:r w:rsidR="00B51A64" w:rsidRPr="00AB6E49">
              <w:rPr>
                <w:lang w:val="es-ES"/>
              </w:rPr>
              <w:t>marzo de 2016</w:t>
            </w:r>
            <w:r w:rsidR="00E03BB2" w:rsidRPr="00AB6E49">
              <w:rPr>
                <w:lang w:val="es-ES"/>
              </w:rPr>
              <w:t xml:space="preserve"> </w:t>
            </w:r>
            <w:r w:rsidRPr="00AB6E49">
              <w:rPr>
                <w:lang w:val="es-ES"/>
              </w:rPr>
              <w:t>(no se publicó como documento)</w:t>
            </w:r>
          </w:p>
        </w:tc>
      </w:tr>
      <w:tr w:rsidR="0036554A" w:rsidRPr="00B47898" w:rsidTr="000D7494">
        <w:tc>
          <w:tcPr>
            <w:tcW w:w="3544" w:type="dxa"/>
          </w:tcPr>
          <w:p w:rsidR="006A31AE" w:rsidRPr="00BD4599" w:rsidRDefault="00512402" w:rsidP="005553FD">
            <w:pPr>
              <w:pStyle w:val="SingleTxtG"/>
              <w:ind w:left="0" w:right="0"/>
              <w:jc w:val="left"/>
              <w:rPr>
                <w:i/>
                <w:lang w:val="es-ES"/>
              </w:rPr>
            </w:pPr>
            <w:r w:rsidRPr="00BD4599">
              <w:rPr>
                <w:i/>
                <w:iCs/>
                <w:lang w:val="es-ES_tradnl"/>
              </w:rPr>
              <w:t>Fecha de adopción de la decisión</w:t>
            </w:r>
            <w:r w:rsidR="006A31AE" w:rsidRPr="00BD4599">
              <w:rPr>
                <w:i/>
                <w:lang w:val="es-ES"/>
              </w:rPr>
              <w:t>:</w:t>
            </w:r>
          </w:p>
        </w:tc>
        <w:tc>
          <w:tcPr>
            <w:tcW w:w="3260" w:type="dxa"/>
            <w:vAlign w:val="bottom"/>
          </w:tcPr>
          <w:p w:rsidR="006A31AE" w:rsidRPr="00BD4599" w:rsidRDefault="00272E4E" w:rsidP="00B11A5A">
            <w:pPr>
              <w:pStyle w:val="SingleTxtG"/>
              <w:ind w:left="0" w:right="0"/>
              <w:jc w:val="left"/>
              <w:rPr>
                <w:lang w:val="es-ES"/>
              </w:rPr>
            </w:pPr>
            <w:r>
              <w:rPr>
                <w:lang w:val="es-ES"/>
              </w:rPr>
              <w:t>25</w:t>
            </w:r>
            <w:r w:rsidRPr="00BD4599">
              <w:rPr>
                <w:lang w:val="es-ES"/>
              </w:rPr>
              <w:t xml:space="preserve"> </w:t>
            </w:r>
            <w:r w:rsidR="00944E7A" w:rsidRPr="00BD4599">
              <w:rPr>
                <w:lang w:val="es-ES"/>
              </w:rPr>
              <w:t xml:space="preserve">de </w:t>
            </w:r>
            <w:r w:rsidR="00B11A5A" w:rsidRPr="00BD4599">
              <w:rPr>
                <w:lang w:val="es-ES"/>
              </w:rPr>
              <w:t>julio</w:t>
            </w:r>
            <w:r w:rsidR="00944E7A" w:rsidRPr="00BD4599">
              <w:rPr>
                <w:lang w:val="es-ES"/>
              </w:rPr>
              <w:t xml:space="preserve"> de 2019</w:t>
            </w:r>
          </w:p>
        </w:tc>
      </w:tr>
      <w:tr w:rsidR="0036554A" w:rsidRPr="00D6670B" w:rsidTr="000D7494">
        <w:tc>
          <w:tcPr>
            <w:tcW w:w="3544" w:type="dxa"/>
          </w:tcPr>
          <w:p w:rsidR="006A31AE" w:rsidRPr="0036554A" w:rsidRDefault="00512402" w:rsidP="005553FD">
            <w:pPr>
              <w:pStyle w:val="SingleTxtG"/>
              <w:ind w:left="0" w:right="0"/>
              <w:jc w:val="left"/>
              <w:rPr>
                <w:i/>
                <w:lang w:val="es-ES"/>
              </w:rPr>
            </w:pPr>
            <w:r w:rsidRPr="0036554A">
              <w:rPr>
                <w:i/>
                <w:iCs/>
                <w:lang w:val="es-ES"/>
              </w:rPr>
              <w:t>Asunto</w:t>
            </w:r>
            <w:r w:rsidR="006A31AE" w:rsidRPr="0036554A">
              <w:rPr>
                <w:i/>
                <w:iCs/>
                <w:lang w:val="es-ES"/>
              </w:rPr>
              <w:t>:</w:t>
            </w:r>
          </w:p>
        </w:tc>
        <w:tc>
          <w:tcPr>
            <w:tcW w:w="3260" w:type="dxa"/>
          </w:tcPr>
          <w:p w:rsidR="006A31AE" w:rsidRPr="00005F6D" w:rsidRDefault="00E15CFA" w:rsidP="004B761C">
            <w:pPr>
              <w:spacing w:after="120"/>
              <w:jc w:val="both"/>
              <w:rPr>
                <w:rFonts w:eastAsia="SimSun"/>
                <w:lang w:val="es-ES" w:eastAsia="zh-CN"/>
              </w:rPr>
            </w:pPr>
            <w:r w:rsidRPr="00005F6D">
              <w:rPr>
                <w:rFonts w:eastAsia="SimSun"/>
                <w:lang w:val="es-ES" w:eastAsia="zh-CN"/>
              </w:rPr>
              <w:t>F</w:t>
            </w:r>
            <w:r w:rsidR="00294CCF" w:rsidRPr="00005F6D">
              <w:rPr>
                <w:rFonts w:eastAsia="SimSun"/>
                <w:lang w:val="es-ES" w:eastAsia="zh-CN"/>
              </w:rPr>
              <w:t>umigaciones con agroquímicos</w:t>
            </w:r>
            <w:r w:rsidRPr="00005F6D">
              <w:rPr>
                <w:rFonts w:eastAsia="SimSun"/>
                <w:lang w:val="es-ES" w:eastAsia="zh-CN"/>
              </w:rPr>
              <w:t xml:space="preserve"> y</w:t>
            </w:r>
            <w:r w:rsidR="00291734" w:rsidRPr="00005F6D">
              <w:rPr>
                <w:rFonts w:eastAsia="SimSun"/>
                <w:lang w:val="es-ES" w:eastAsia="zh-CN"/>
              </w:rPr>
              <w:t xml:space="preserve"> sus consecuencias para la</w:t>
            </w:r>
            <w:r w:rsidRPr="00005F6D">
              <w:rPr>
                <w:rFonts w:eastAsia="SimSun"/>
                <w:lang w:val="es-ES" w:eastAsia="zh-CN"/>
              </w:rPr>
              <w:t xml:space="preserve"> </w:t>
            </w:r>
            <w:r w:rsidR="004B761C">
              <w:rPr>
                <w:rFonts w:eastAsia="SimSun"/>
                <w:lang w:val="es-ES" w:eastAsia="zh-CN"/>
              </w:rPr>
              <w:t>vida</w:t>
            </w:r>
          </w:p>
        </w:tc>
      </w:tr>
      <w:tr w:rsidR="0036554A" w:rsidRPr="00D6670B" w:rsidTr="000D7494">
        <w:tc>
          <w:tcPr>
            <w:tcW w:w="3544" w:type="dxa"/>
          </w:tcPr>
          <w:p w:rsidR="006A31AE" w:rsidRPr="0036554A" w:rsidRDefault="00512402" w:rsidP="005553FD">
            <w:pPr>
              <w:pStyle w:val="SingleTxtG"/>
              <w:ind w:left="0" w:right="0"/>
              <w:jc w:val="left"/>
              <w:rPr>
                <w:i/>
                <w:iCs/>
                <w:lang w:val="es-ES"/>
              </w:rPr>
            </w:pPr>
            <w:r w:rsidRPr="0036554A">
              <w:rPr>
                <w:i/>
                <w:iCs/>
                <w:lang w:val="es-ES"/>
              </w:rPr>
              <w:t>Cuestiones de procedimiento</w:t>
            </w:r>
            <w:r w:rsidR="006A31AE" w:rsidRPr="0036554A">
              <w:rPr>
                <w:i/>
                <w:lang w:val="es-ES"/>
              </w:rPr>
              <w:t>:</w:t>
            </w:r>
          </w:p>
        </w:tc>
        <w:tc>
          <w:tcPr>
            <w:tcW w:w="3260" w:type="dxa"/>
          </w:tcPr>
          <w:p w:rsidR="006A31AE" w:rsidRPr="00005F6D" w:rsidRDefault="00017187" w:rsidP="001D2011">
            <w:pPr>
              <w:pStyle w:val="SingleTxtG"/>
              <w:ind w:left="0" w:right="0"/>
              <w:rPr>
                <w:lang w:val="es-ES"/>
              </w:rPr>
            </w:pPr>
            <w:r w:rsidRPr="00005F6D">
              <w:rPr>
                <w:lang w:val="es-ES"/>
              </w:rPr>
              <w:t>Agotamiento de los recursos internos</w:t>
            </w:r>
          </w:p>
        </w:tc>
      </w:tr>
      <w:tr w:rsidR="0036554A" w:rsidRPr="00D6670B" w:rsidTr="000D7494">
        <w:tc>
          <w:tcPr>
            <w:tcW w:w="3544" w:type="dxa"/>
          </w:tcPr>
          <w:p w:rsidR="006A31AE" w:rsidRPr="004F6C76" w:rsidRDefault="00512402" w:rsidP="005553FD">
            <w:pPr>
              <w:pStyle w:val="SingleTxtG"/>
              <w:keepNext/>
              <w:ind w:left="0" w:right="0"/>
              <w:jc w:val="left"/>
              <w:rPr>
                <w:i/>
                <w:iCs/>
                <w:lang w:val="es-ES"/>
              </w:rPr>
            </w:pPr>
            <w:r w:rsidRPr="004F6C76">
              <w:rPr>
                <w:i/>
                <w:iCs/>
                <w:lang w:val="es-ES"/>
              </w:rPr>
              <w:t>Cuestiones de fondo</w:t>
            </w:r>
            <w:r w:rsidR="006A31AE" w:rsidRPr="004F6C76">
              <w:rPr>
                <w:i/>
                <w:iCs/>
                <w:lang w:val="es-ES"/>
              </w:rPr>
              <w:t>:</w:t>
            </w:r>
          </w:p>
        </w:tc>
        <w:tc>
          <w:tcPr>
            <w:tcW w:w="3260" w:type="dxa"/>
          </w:tcPr>
          <w:p w:rsidR="006A31AE" w:rsidRPr="00005F6D" w:rsidRDefault="003F2E71" w:rsidP="006500C6">
            <w:pPr>
              <w:keepNext/>
              <w:spacing w:after="120"/>
              <w:jc w:val="both"/>
              <w:rPr>
                <w:rFonts w:eastAsia="SimSun"/>
                <w:lang w:val="es-ES" w:eastAsia="zh-CN"/>
              </w:rPr>
            </w:pPr>
            <w:r w:rsidRPr="00005F6D">
              <w:rPr>
                <w:rFonts w:eastAsia="SimSun"/>
                <w:lang w:val="es-ES" w:eastAsia="zh-CN"/>
              </w:rPr>
              <w:t>Derecho a un recurso efectivo; d</w:t>
            </w:r>
            <w:r w:rsidR="006A1B36" w:rsidRPr="00005F6D">
              <w:rPr>
                <w:rFonts w:eastAsia="SimSun"/>
                <w:lang w:val="es-ES" w:eastAsia="zh-CN"/>
              </w:rPr>
              <w:t>erecho a la vida;</w:t>
            </w:r>
            <w:r w:rsidR="00B11A5A" w:rsidRPr="00005F6D">
              <w:rPr>
                <w:rFonts w:eastAsia="SimSun"/>
                <w:lang w:val="es-ES" w:eastAsia="zh-CN"/>
              </w:rPr>
              <w:t xml:space="preserve"> prohibición de </w:t>
            </w:r>
            <w:r w:rsidR="00364403" w:rsidRPr="00005F6D">
              <w:rPr>
                <w:rFonts w:eastAsia="SimSun"/>
                <w:lang w:val="es-ES" w:eastAsia="zh-CN"/>
              </w:rPr>
              <w:t>tratos crueles, inhumanos o degradantes</w:t>
            </w:r>
            <w:r w:rsidR="006A1B36" w:rsidRPr="00005F6D">
              <w:rPr>
                <w:rFonts w:eastAsia="SimSun"/>
                <w:lang w:val="es-ES" w:eastAsia="zh-CN"/>
              </w:rPr>
              <w:t>;</w:t>
            </w:r>
            <w:r w:rsidR="006500C6" w:rsidRPr="00005F6D">
              <w:rPr>
                <w:rFonts w:eastAsia="SimSun"/>
                <w:lang w:val="es-ES" w:eastAsia="zh-CN"/>
              </w:rPr>
              <w:t xml:space="preserve"> derecho a no ser objeto de injerencias arbitrarias o ilegales en la vida privada, familia, domicilio</w:t>
            </w:r>
            <w:r w:rsidR="002818D1" w:rsidRPr="00005F6D">
              <w:rPr>
                <w:rFonts w:eastAsia="SimSun"/>
                <w:lang w:val="es-ES" w:eastAsia="zh-CN"/>
              </w:rPr>
              <w:t>.</w:t>
            </w:r>
          </w:p>
        </w:tc>
      </w:tr>
      <w:tr w:rsidR="0036554A" w:rsidRPr="0036554A" w:rsidTr="000D7494">
        <w:tc>
          <w:tcPr>
            <w:tcW w:w="3544" w:type="dxa"/>
          </w:tcPr>
          <w:p w:rsidR="006A31AE" w:rsidRPr="004F6C76" w:rsidRDefault="00512402" w:rsidP="005553FD">
            <w:pPr>
              <w:pStyle w:val="SingleTxtG"/>
              <w:ind w:left="0" w:right="0"/>
              <w:jc w:val="left"/>
              <w:rPr>
                <w:i/>
                <w:iCs/>
                <w:lang w:val="es-ES"/>
              </w:rPr>
            </w:pPr>
            <w:r w:rsidRPr="004F6C76">
              <w:rPr>
                <w:i/>
                <w:iCs/>
                <w:lang w:val="es-ES_tradnl"/>
              </w:rPr>
              <w:t>Artículos del Pacto</w:t>
            </w:r>
            <w:r w:rsidR="006A31AE" w:rsidRPr="004F6C76">
              <w:rPr>
                <w:i/>
                <w:lang w:val="es-ES"/>
              </w:rPr>
              <w:t>:</w:t>
            </w:r>
          </w:p>
        </w:tc>
        <w:tc>
          <w:tcPr>
            <w:tcW w:w="3260" w:type="dxa"/>
          </w:tcPr>
          <w:p w:rsidR="006A31AE" w:rsidRPr="004F6C76" w:rsidRDefault="002C34EB" w:rsidP="006A1B36">
            <w:pPr>
              <w:pStyle w:val="SingleTxtG"/>
              <w:ind w:left="0" w:right="0"/>
              <w:jc w:val="left"/>
              <w:rPr>
                <w:lang w:val="es-ES"/>
              </w:rPr>
            </w:pPr>
            <w:r w:rsidRPr="004F6C76">
              <w:rPr>
                <w:lang w:val="es-ES"/>
              </w:rPr>
              <w:t xml:space="preserve">2 (3), </w:t>
            </w:r>
            <w:r w:rsidR="006A1B36" w:rsidRPr="004F6C76">
              <w:rPr>
                <w:lang w:val="es-ES"/>
              </w:rPr>
              <w:t xml:space="preserve">6, </w:t>
            </w:r>
            <w:r w:rsidR="00094134" w:rsidRPr="004F6C76">
              <w:rPr>
                <w:lang w:val="es-ES"/>
              </w:rPr>
              <w:t>7,</w:t>
            </w:r>
            <w:r w:rsidR="007A160A" w:rsidRPr="004F6C76">
              <w:rPr>
                <w:lang w:val="es-ES"/>
              </w:rPr>
              <w:t xml:space="preserve"> </w:t>
            </w:r>
            <w:r w:rsidR="004F6C76" w:rsidRPr="004F6C76">
              <w:rPr>
                <w:lang w:val="es-ES"/>
              </w:rPr>
              <w:t>17</w:t>
            </w:r>
          </w:p>
        </w:tc>
      </w:tr>
      <w:tr w:rsidR="0036554A" w:rsidRPr="0036554A" w:rsidTr="000D7494">
        <w:tc>
          <w:tcPr>
            <w:tcW w:w="3544" w:type="dxa"/>
          </w:tcPr>
          <w:p w:rsidR="006A31AE" w:rsidRPr="009D13E8" w:rsidRDefault="00F907E8" w:rsidP="005553FD">
            <w:pPr>
              <w:pStyle w:val="SingleTxtG"/>
              <w:ind w:left="0" w:right="0"/>
              <w:jc w:val="left"/>
              <w:rPr>
                <w:i/>
                <w:iCs/>
                <w:lang w:val="es-ES"/>
              </w:rPr>
            </w:pPr>
            <w:r w:rsidRPr="009D13E8">
              <w:rPr>
                <w:i/>
                <w:iCs/>
                <w:lang w:val="es-ES_tradnl"/>
              </w:rPr>
              <w:t>Artículos del Protocolo Facultativo</w:t>
            </w:r>
            <w:r w:rsidR="006A31AE" w:rsidRPr="009D13E8">
              <w:rPr>
                <w:i/>
                <w:iCs/>
                <w:lang w:val="es-ES"/>
              </w:rPr>
              <w:t>:</w:t>
            </w:r>
          </w:p>
        </w:tc>
        <w:tc>
          <w:tcPr>
            <w:tcW w:w="3260" w:type="dxa"/>
          </w:tcPr>
          <w:p w:rsidR="006A31AE" w:rsidRPr="009D13E8" w:rsidRDefault="009D13E8" w:rsidP="007C2E7D">
            <w:pPr>
              <w:pStyle w:val="SingleTxtG"/>
              <w:ind w:left="0" w:right="0"/>
              <w:jc w:val="left"/>
              <w:rPr>
                <w:lang w:val="es-ES"/>
              </w:rPr>
            </w:pPr>
            <w:r w:rsidRPr="009D13E8">
              <w:rPr>
                <w:lang w:val="es-ES"/>
              </w:rPr>
              <w:t>5 (2) (b</w:t>
            </w:r>
            <w:r w:rsidR="007C2E7D" w:rsidRPr="009D13E8">
              <w:rPr>
                <w:lang w:val="es-ES"/>
              </w:rPr>
              <w:t>)</w:t>
            </w:r>
          </w:p>
        </w:tc>
      </w:tr>
    </w:tbl>
    <w:p w:rsidR="00DE7918" w:rsidRDefault="00DE7918">
      <w:pPr>
        <w:suppressAutoHyphens w:val="0"/>
        <w:spacing w:after="200" w:line="276" w:lineRule="auto"/>
        <w:rPr>
          <w:rFonts w:eastAsia="SimSun"/>
          <w:lang w:val="es-EC" w:eastAsia="zh-CN"/>
        </w:rPr>
      </w:pPr>
      <w:r>
        <w:rPr>
          <w:rFonts w:eastAsia="SimSun"/>
          <w:lang w:val="es-EC" w:eastAsia="zh-CN"/>
        </w:rPr>
        <w:br w:type="page"/>
      </w:r>
    </w:p>
    <w:p w:rsidR="00AB46A3" w:rsidRPr="00025907" w:rsidRDefault="00A536F2" w:rsidP="004B14BB">
      <w:pPr>
        <w:pStyle w:val="SingleTxtG"/>
        <w:rPr>
          <w:lang w:val="es-ES"/>
        </w:rPr>
      </w:pPr>
      <w:r>
        <w:rPr>
          <w:lang w:val="es-ES"/>
        </w:rPr>
        <w:lastRenderedPageBreak/>
        <w:t>1.</w:t>
      </w:r>
      <w:r w:rsidR="000D4140" w:rsidRPr="00025907">
        <w:rPr>
          <w:lang w:val="es-ES"/>
        </w:rPr>
        <w:tab/>
      </w:r>
      <w:r w:rsidR="00AB46A3" w:rsidRPr="00025907">
        <w:rPr>
          <w:lang w:val="es-ES"/>
        </w:rPr>
        <w:t xml:space="preserve">Los autores de la comunicación, de fecha </w:t>
      </w:r>
      <w:r w:rsidR="0043042B" w:rsidRPr="0043042B">
        <w:rPr>
          <w:lang w:val="es-ES"/>
        </w:rPr>
        <w:t>30 de septiembre de 2013</w:t>
      </w:r>
      <w:r w:rsidR="00AB46A3" w:rsidRPr="00025907">
        <w:rPr>
          <w:lang w:val="es-ES"/>
        </w:rPr>
        <w:t xml:space="preserve">, son </w:t>
      </w:r>
      <w:r w:rsidR="00BA502F" w:rsidRPr="00C55AC2">
        <w:rPr>
          <w:lang w:val="es-ES"/>
        </w:rPr>
        <w:t xml:space="preserve">Norma Portillo Cáceres, Hermenegilda Cáceres, Isabel Bordón Ramírez, Ruperto Bordón Juárez, Ignacio Bordón Ramírez, </w:t>
      </w:r>
      <w:proofErr w:type="spellStart"/>
      <w:r w:rsidR="00727B65" w:rsidRPr="00C55AC2">
        <w:rPr>
          <w:lang w:val="es-ES"/>
        </w:rPr>
        <w:t>Caferino</w:t>
      </w:r>
      <w:proofErr w:type="spellEnd"/>
      <w:r w:rsidR="00727B65" w:rsidRPr="00C55AC2">
        <w:rPr>
          <w:lang w:val="es-ES"/>
        </w:rPr>
        <w:t xml:space="preserve"> Bordón Ramírez</w:t>
      </w:r>
      <w:r w:rsidR="00727B65">
        <w:rPr>
          <w:lang w:val="es-ES"/>
        </w:rPr>
        <w:t>,</w:t>
      </w:r>
      <w:r w:rsidR="00727B65" w:rsidRPr="00C55AC2">
        <w:rPr>
          <w:lang w:val="es-ES"/>
        </w:rPr>
        <w:t xml:space="preserve"> </w:t>
      </w:r>
      <w:r w:rsidR="00BA502F" w:rsidRPr="00C55AC2">
        <w:rPr>
          <w:lang w:val="es-ES"/>
        </w:rPr>
        <w:t>José</w:t>
      </w:r>
      <w:r w:rsidR="00727B65">
        <w:rPr>
          <w:lang w:val="es-ES"/>
        </w:rPr>
        <w:t xml:space="preserve"> Bordón Ramírez, Alicia Aranda</w:t>
      </w:r>
      <w:r w:rsidR="00BA502F" w:rsidRPr="00C55AC2">
        <w:rPr>
          <w:lang w:val="es-ES"/>
        </w:rPr>
        <w:t xml:space="preserve"> </w:t>
      </w:r>
      <w:r w:rsidR="00727B65">
        <w:rPr>
          <w:lang w:val="es-ES"/>
        </w:rPr>
        <w:t xml:space="preserve">y Benito </w:t>
      </w:r>
      <w:proofErr w:type="spellStart"/>
      <w:r w:rsidR="00727B65">
        <w:rPr>
          <w:lang w:val="es-ES"/>
        </w:rPr>
        <w:t>Milcíades</w:t>
      </w:r>
      <w:proofErr w:type="spellEnd"/>
      <w:r w:rsidR="00727B65">
        <w:rPr>
          <w:lang w:val="es-ES"/>
        </w:rPr>
        <w:t xml:space="preserve"> Jara Silva</w:t>
      </w:r>
      <w:r w:rsidR="00BA502F">
        <w:rPr>
          <w:lang w:val="es-ES"/>
        </w:rPr>
        <w:t>,</w:t>
      </w:r>
      <w:r w:rsidR="00BA502F" w:rsidRPr="00BA502F">
        <w:rPr>
          <w:lang w:val="es-ES"/>
        </w:rPr>
        <w:t xml:space="preserve"> </w:t>
      </w:r>
      <w:r w:rsidR="00BA502F" w:rsidRPr="00C55AC2">
        <w:rPr>
          <w:lang w:val="es-ES"/>
        </w:rPr>
        <w:t>todos</w:t>
      </w:r>
      <w:r w:rsidR="00BA502F">
        <w:rPr>
          <w:lang w:val="es-ES"/>
        </w:rPr>
        <w:t xml:space="preserve"> de nacionalidad paraguaya y</w:t>
      </w:r>
      <w:r w:rsidR="00BA502F" w:rsidRPr="00C55AC2">
        <w:rPr>
          <w:lang w:val="es-ES"/>
        </w:rPr>
        <w:t xml:space="preserve"> mayores de edad</w:t>
      </w:r>
      <w:r w:rsidR="00BA502F">
        <w:rPr>
          <w:lang w:val="es-ES"/>
        </w:rPr>
        <w:t xml:space="preserve">, actuando en nombre propio y en nombre de </w:t>
      </w:r>
      <w:r w:rsidR="00BA502F" w:rsidRPr="00A20521">
        <w:rPr>
          <w:lang w:val="es-ES"/>
        </w:rPr>
        <w:t xml:space="preserve">su familiar fallecido, Rubén Portillo Cáceres, </w:t>
      </w:r>
      <w:r w:rsidR="00BA502F">
        <w:rPr>
          <w:lang w:val="es-ES"/>
        </w:rPr>
        <w:t xml:space="preserve">así como de </w:t>
      </w:r>
      <w:r w:rsidR="00C52FC9">
        <w:rPr>
          <w:lang w:val="es-ES"/>
        </w:rPr>
        <w:t>dos</w:t>
      </w:r>
      <w:r w:rsidR="00BA502F">
        <w:rPr>
          <w:lang w:val="es-ES"/>
        </w:rPr>
        <w:t xml:space="preserve"> menor</w:t>
      </w:r>
      <w:r w:rsidR="00C52FC9">
        <w:rPr>
          <w:lang w:val="es-ES"/>
        </w:rPr>
        <w:t>es</w:t>
      </w:r>
      <w:r w:rsidR="006A3749">
        <w:rPr>
          <w:lang w:val="es-ES"/>
        </w:rPr>
        <w:t xml:space="preserve"> de edad</w:t>
      </w:r>
      <w:r w:rsidR="00BA502F">
        <w:rPr>
          <w:lang w:val="es-ES"/>
        </w:rPr>
        <w:t>,</w:t>
      </w:r>
      <w:r w:rsidR="00BA502F" w:rsidRPr="00BA502F">
        <w:rPr>
          <w:lang w:val="es-ES"/>
        </w:rPr>
        <w:t xml:space="preserve"> </w:t>
      </w:r>
      <w:r w:rsidR="00BA502F">
        <w:rPr>
          <w:lang w:val="es-ES"/>
        </w:rPr>
        <w:t>Diego Rubén Portillo Bordón</w:t>
      </w:r>
      <w:r w:rsidR="00727B65">
        <w:rPr>
          <w:lang w:val="es-ES"/>
        </w:rPr>
        <w:t xml:space="preserve"> </w:t>
      </w:r>
      <w:r w:rsidR="006F1A7D">
        <w:rPr>
          <w:lang w:val="es-ES"/>
        </w:rPr>
        <w:t xml:space="preserve">(hijo del fallecido) </w:t>
      </w:r>
      <w:r w:rsidR="00727B65">
        <w:rPr>
          <w:lang w:val="es-ES"/>
        </w:rPr>
        <w:t xml:space="preserve">y </w:t>
      </w:r>
      <w:r w:rsidR="00727B65" w:rsidRPr="00C55AC2">
        <w:rPr>
          <w:lang w:val="es-ES"/>
        </w:rPr>
        <w:t>Santiago Bordón Aranda</w:t>
      </w:r>
      <w:r w:rsidR="003430DD">
        <w:rPr>
          <w:lang w:val="es-ES"/>
        </w:rPr>
        <w:t xml:space="preserve"> (sobrino del fallecido)</w:t>
      </w:r>
      <w:r w:rsidR="00BA502F" w:rsidRPr="00C55AC2">
        <w:rPr>
          <w:lang w:val="es-ES"/>
        </w:rPr>
        <w:t xml:space="preserve">. </w:t>
      </w:r>
      <w:r w:rsidR="00C55AC2" w:rsidRPr="00C55AC2">
        <w:rPr>
          <w:lang w:val="es-ES"/>
        </w:rPr>
        <w:t xml:space="preserve">Los autores alegan </w:t>
      </w:r>
      <w:r w:rsidR="006F1A7D">
        <w:rPr>
          <w:lang w:val="es-ES"/>
        </w:rPr>
        <w:t>la</w:t>
      </w:r>
      <w:r w:rsidR="005F017C">
        <w:rPr>
          <w:lang w:val="es-ES"/>
        </w:rPr>
        <w:t xml:space="preserve"> violación</w:t>
      </w:r>
      <w:r w:rsidR="00C55AC2" w:rsidRPr="00C55AC2">
        <w:rPr>
          <w:lang w:val="es-ES"/>
        </w:rPr>
        <w:t xml:space="preserve"> </w:t>
      </w:r>
      <w:r w:rsidR="00CB1491" w:rsidRPr="00025907">
        <w:rPr>
          <w:lang w:val="es-ES"/>
        </w:rPr>
        <w:t xml:space="preserve">por el Estado parte </w:t>
      </w:r>
      <w:r w:rsidR="00C55AC2" w:rsidRPr="00C55AC2">
        <w:rPr>
          <w:lang w:val="es-ES"/>
        </w:rPr>
        <w:t xml:space="preserve">de </w:t>
      </w:r>
      <w:r w:rsidR="00BF39AC">
        <w:rPr>
          <w:lang w:val="es-ES"/>
        </w:rPr>
        <w:t>los</w:t>
      </w:r>
      <w:r w:rsidR="00C55AC2" w:rsidRPr="00C55AC2">
        <w:rPr>
          <w:lang w:val="es-ES"/>
        </w:rPr>
        <w:t xml:space="preserve"> derechos con</w:t>
      </w:r>
      <w:r w:rsidR="008352B7">
        <w:rPr>
          <w:lang w:val="es-ES"/>
        </w:rPr>
        <w:t xml:space="preserve">tenidos en los artículos </w:t>
      </w:r>
      <w:r w:rsidR="00037AFC">
        <w:rPr>
          <w:lang w:val="es-ES"/>
        </w:rPr>
        <w:t xml:space="preserve">6, 7 y 17 </w:t>
      </w:r>
      <w:r w:rsidR="00CB1491">
        <w:rPr>
          <w:lang w:val="es-ES"/>
        </w:rPr>
        <w:t>del Pacto</w:t>
      </w:r>
      <w:r w:rsidR="001A7B8D">
        <w:rPr>
          <w:lang w:val="es-ES"/>
        </w:rPr>
        <w:t xml:space="preserve">, leídos solos </w:t>
      </w:r>
      <w:r w:rsidR="006F1A7D">
        <w:rPr>
          <w:lang w:val="es-ES"/>
        </w:rPr>
        <w:t>y en conjunto con el artículo 2</w:t>
      </w:r>
      <w:r w:rsidR="00734D5C">
        <w:rPr>
          <w:lang w:val="es-ES"/>
        </w:rPr>
        <w:t>,</w:t>
      </w:r>
      <w:r w:rsidR="001A7B8D">
        <w:rPr>
          <w:lang w:val="es-ES"/>
        </w:rPr>
        <w:t xml:space="preserve"> párrafo 3</w:t>
      </w:r>
      <w:r w:rsidR="00C55AC2" w:rsidRPr="00C55AC2">
        <w:rPr>
          <w:lang w:val="es-ES"/>
        </w:rPr>
        <w:t xml:space="preserve">. </w:t>
      </w:r>
      <w:r w:rsidR="00CB1491" w:rsidRPr="00025907">
        <w:rPr>
          <w:lang w:val="es-ES"/>
        </w:rPr>
        <w:t>El Protocolo Facultativo entró en vigor para</w:t>
      </w:r>
      <w:r w:rsidR="00DE79CF">
        <w:rPr>
          <w:lang w:val="es-ES"/>
        </w:rPr>
        <w:t xml:space="preserve"> el Estado parte el 10 de abril de 1995</w:t>
      </w:r>
      <w:r w:rsidR="00CB1491" w:rsidRPr="00025907">
        <w:rPr>
          <w:lang w:val="es-ES"/>
        </w:rPr>
        <w:t xml:space="preserve">. </w:t>
      </w:r>
      <w:r w:rsidR="00C55AC2" w:rsidRPr="00C55AC2">
        <w:rPr>
          <w:lang w:val="es-ES"/>
        </w:rPr>
        <w:t>Los autores están representados</w:t>
      </w:r>
      <w:r w:rsidR="00CB1491">
        <w:rPr>
          <w:lang w:val="es-ES"/>
        </w:rPr>
        <w:t>.</w:t>
      </w:r>
    </w:p>
    <w:p w:rsidR="00532065" w:rsidRPr="00173CF5" w:rsidRDefault="00005F6D" w:rsidP="00005F6D">
      <w:pPr>
        <w:pStyle w:val="H23G"/>
        <w:rPr>
          <w:rFonts w:eastAsia="Calibri"/>
          <w:lang w:val="es-ES_tradnl"/>
        </w:rPr>
      </w:pPr>
      <w:r>
        <w:rPr>
          <w:rFonts w:eastAsia="Calibri"/>
          <w:lang w:val="es-ES_tradnl"/>
        </w:rPr>
        <w:tab/>
      </w:r>
      <w:r>
        <w:rPr>
          <w:rFonts w:eastAsia="Calibri"/>
          <w:lang w:val="es-ES_tradnl"/>
        </w:rPr>
        <w:tab/>
      </w:r>
      <w:r w:rsidR="00B95840">
        <w:rPr>
          <w:rFonts w:eastAsia="Calibri"/>
          <w:lang w:val="es-ES_tradnl"/>
        </w:rPr>
        <w:t>Los hechos según los autores</w:t>
      </w:r>
    </w:p>
    <w:p w:rsidR="00B25A0B" w:rsidRPr="00BD583C" w:rsidRDefault="00DE7918" w:rsidP="00DE7918">
      <w:pPr>
        <w:pStyle w:val="H4G"/>
        <w:rPr>
          <w:rFonts w:eastAsia="Calibri"/>
          <w:lang w:val="es-ES_tradnl"/>
        </w:rPr>
      </w:pPr>
      <w:r>
        <w:rPr>
          <w:rFonts w:eastAsia="Calibri"/>
          <w:lang w:val="es-ES_tradnl"/>
        </w:rPr>
        <w:tab/>
      </w:r>
      <w:r>
        <w:rPr>
          <w:rFonts w:eastAsia="Calibri"/>
          <w:lang w:val="es-ES_tradnl"/>
        </w:rPr>
        <w:tab/>
      </w:r>
      <w:r w:rsidR="006A028F">
        <w:rPr>
          <w:rFonts w:eastAsia="Calibri"/>
          <w:lang w:val="es-ES_tradnl"/>
        </w:rPr>
        <w:t>Contexto: f</w:t>
      </w:r>
      <w:r w:rsidR="0030570D">
        <w:rPr>
          <w:rFonts w:eastAsia="Calibri"/>
          <w:lang w:val="es-ES_tradnl"/>
        </w:rPr>
        <w:t>umigaciones</w:t>
      </w:r>
      <w:r w:rsidR="00EF17CA">
        <w:rPr>
          <w:rFonts w:eastAsia="Calibri"/>
          <w:lang w:val="es-ES_tradnl"/>
        </w:rPr>
        <w:t xml:space="preserve"> </w:t>
      </w:r>
      <w:r w:rsidR="0030570D">
        <w:rPr>
          <w:rFonts w:eastAsia="Calibri"/>
          <w:lang w:val="es-ES_tradnl"/>
        </w:rPr>
        <w:t>con agroquímicos</w:t>
      </w:r>
      <w:r w:rsidR="00EF17CA">
        <w:rPr>
          <w:rFonts w:eastAsia="Calibri"/>
          <w:lang w:val="es-ES_tradnl"/>
        </w:rPr>
        <w:t xml:space="preserve"> en </w:t>
      </w:r>
      <w:r w:rsidR="00623F45">
        <w:rPr>
          <w:rFonts w:eastAsia="Calibri"/>
          <w:lang w:val="es-ES_tradnl"/>
        </w:rPr>
        <w:t>explotaciones agrícolas</w:t>
      </w:r>
      <w:r w:rsidR="0015621E">
        <w:rPr>
          <w:rFonts w:eastAsia="Calibri"/>
          <w:lang w:val="es-ES_tradnl"/>
        </w:rPr>
        <w:t xml:space="preserve"> </w:t>
      </w:r>
      <w:r w:rsidR="00E22BC3">
        <w:rPr>
          <w:rFonts w:eastAsia="Calibri"/>
          <w:lang w:val="es-ES_tradnl"/>
        </w:rPr>
        <w:t xml:space="preserve">vecinas de </w:t>
      </w:r>
      <w:r w:rsidR="00357E0E">
        <w:rPr>
          <w:rFonts w:eastAsia="Calibri"/>
          <w:lang w:val="es-ES_tradnl"/>
        </w:rPr>
        <w:t>los autores</w:t>
      </w:r>
    </w:p>
    <w:p w:rsidR="00B25A0B" w:rsidRDefault="009300B8" w:rsidP="003D64AB">
      <w:pPr>
        <w:pStyle w:val="SingleTxtG"/>
        <w:rPr>
          <w:rFonts w:eastAsia="Calibri"/>
          <w:lang w:val="es-ES_tradnl"/>
        </w:rPr>
      </w:pPr>
      <w:r w:rsidRPr="00173CF5">
        <w:rPr>
          <w:rFonts w:eastAsia="Calibri"/>
          <w:lang w:val="es-ES_tradnl"/>
        </w:rPr>
        <w:t>2.1</w:t>
      </w:r>
      <w:r w:rsidRPr="00173CF5">
        <w:rPr>
          <w:rFonts w:eastAsia="Calibri"/>
          <w:lang w:val="es-ES_tradnl"/>
        </w:rPr>
        <w:tab/>
      </w:r>
      <w:r w:rsidR="001876BC">
        <w:rPr>
          <w:rFonts w:eastAsia="Calibri"/>
          <w:lang w:val="es-ES_tradnl"/>
        </w:rPr>
        <w:t>Los autores</w:t>
      </w:r>
      <w:r w:rsidR="00284FDD">
        <w:rPr>
          <w:rFonts w:eastAsia="Calibri"/>
          <w:lang w:val="es-ES_tradnl"/>
        </w:rPr>
        <w:t>,</w:t>
      </w:r>
      <w:r w:rsidR="001876BC">
        <w:rPr>
          <w:rFonts w:eastAsia="Calibri"/>
          <w:lang w:val="es-ES_tradnl"/>
        </w:rPr>
        <w:t xml:space="preserve"> </w:t>
      </w:r>
      <w:r w:rsidR="00A536F2" w:rsidRPr="00A536F2">
        <w:rPr>
          <w:rFonts w:eastAsia="Calibri"/>
          <w:lang w:val="es-ES_tradnl"/>
        </w:rPr>
        <w:t xml:space="preserve">integrantes de </w:t>
      </w:r>
      <w:r w:rsidR="00F21603">
        <w:rPr>
          <w:rFonts w:eastAsia="Calibri"/>
          <w:lang w:val="es-ES_tradnl"/>
        </w:rPr>
        <w:t>dos</w:t>
      </w:r>
      <w:r w:rsidR="00A536F2" w:rsidRPr="00A536F2">
        <w:rPr>
          <w:rFonts w:eastAsia="Calibri"/>
          <w:lang w:val="es-ES_tradnl"/>
        </w:rPr>
        <w:t xml:space="preserve"> familias</w:t>
      </w:r>
      <w:r w:rsidR="00D873BF">
        <w:rPr>
          <w:rFonts w:eastAsia="Calibri"/>
          <w:lang w:val="es-ES_tradnl"/>
        </w:rPr>
        <w:t xml:space="preserve"> </w:t>
      </w:r>
      <w:r w:rsidR="00B54BBD">
        <w:rPr>
          <w:rFonts w:eastAsia="Calibri"/>
          <w:lang w:val="es-ES_tradnl"/>
        </w:rPr>
        <w:t xml:space="preserve">unidas por </w:t>
      </w:r>
      <w:r w:rsidR="00040BA7">
        <w:rPr>
          <w:rFonts w:eastAsia="Calibri"/>
          <w:lang w:val="es-ES_tradnl"/>
        </w:rPr>
        <w:t>el matrimonio</w:t>
      </w:r>
      <w:r w:rsidR="00B54BBD">
        <w:rPr>
          <w:rFonts w:eastAsia="Calibri"/>
          <w:lang w:val="es-ES_tradnl"/>
        </w:rPr>
        <w:t xml:space="preserve"> entre una de las autoras, Isabel Bordón </w:t>
      </w:r>
      <w:r w:rsidR="00B54BBD" w:rsidRPr="006A762C">
        <w:rPr>
          <w:rFonts w:eastAsia="Calibri"/>
          <w:lang w:val="es-ES_tradnl"/>
        </w:rPr>
        <w:t>Ramírez</w:t>
      </w:r>
      <w:r w:rsidR="00B54BBD">
        <w:rPr>
          <w:rFonts w:eastAsia="Calibri"/>
          <w:lang w:val="es-ES_tradnl"/>
        </w:rPr>
        <w:t>,</w:t>
      </w:r>
      <w:r w:rsidR="00B54BBD" w:rsidRPr="006A762C">
        <w:rPr>
          <w:rFonts w:eastAsia="Calibri"/>
          <w:lang w:val="es-ES_tradnl"/>
        </w:rPr>
        <w:t xml:space="preserve"> </w:t>
      </w:r>
      <w:r w:rsidR="00B54BBD">
        <w:rPr>
          <w:rFonts w:eastAsia="Calibri"/>
          <w:lang w:val="es-ES_tradnl"/>
        </w:rPr>
        <w:t xml:space="preserve">y </w:t>
      </w:r>
      <w:r w:rsidR="00E11C1A">
        <w:rPr>
          <w:rFonts w:eastAsia="Calibri"/>
          <w:lang w:val="es-ES_tradnl"/>
        </w:rPr>
        <w:t xml:space="preserve">el fallecido </w:t>
      </w:r>
      <w:r w:rsidR="00B54BBD" w:rsidRPr="006A762C">
        <w:rPr>
          <w:rFonts w:eastAsia="Calibri"/>
          <w:lang w:val="es-ES_tradnl"/>
        </w:rPr>
        <w:t>Rubén Portillo Cáceres</w:t>
      </w:r>
      <w:r w:rsidR="00896A26">
        <w:rPr>
          <w:rFonts w:eastAsia="Calibri"/>
          <w:lang w:val="es-ES_tradnl"/>
        </w:rPr>
        <w:t>,</w:t>
      </w:r>
      <w:r w:rsidR="00B54BBD">
        <w:rPr>
          <w:rFonts w:eastAsia="Calibri"/>
          <w:lang w:val="es-ES_tradnl"/>
        </w:rPr>
        <w:t xml:space="preserve"> </w:t>
      </w:r>
      <w:r w:rsidR="00A11466">
        <w:rPr>
          <w:rFonts w:eastAsia="Calibri"/>
          <w:lang w:val="es-ES_tradnl"/>
        </w:rPr>
        <w:t>son</w:t>
      </w:r>
      <w:r w:rsidR="00B54BBD" w:rsidRPr="00A536F2">
        <w:rPr>
          <w:rFonts w:eastAsia="Calibri"/>
          <w:lang w:val="es-ES_tradnl"/>
        </w:rPr>
        <w:t xml:space="preserve"> trabajadores rurales que se dedican a la agricu</w:t>
      </w:r>
      <w:r w:rsidR="00B54BBD">
        <w:rPr>
          <w:rFonts w:eastAsia="Calibri"/>
          <w:lang w:val="es-ES_tradnl"/>
        </w:rPr>
        <w:t xml:space="preserve">ltura familiar campesina </w:t>
      </w:r>
      <w:r w:rsidR="00840FED">
        <w:rPr>
          <w:rFonts w:eastAsia="Calibri"/>
          <w:lang w:val="es-ES_tradnl"/>
        </w:rPr>
        <w:t>para el autoconsumo y la v</w:t>
      </w:r>
      <w:r w:rsidR="00B54BBD">
        <w:rPr>
          <w:rFonts w:eastAsia="Calibri"/>
          <w:lang w:val="es-ES_tradnl"/>
        </w:rPr>
        <w:t xml:space="preserve">enta. </w:t>
      </w:r>
    </w:p>
    <w:p w:rsidR="00B25A0B" w:rsidRPr="006B4160" w:rsidRDefault="00B25A0B" w:rsidP="006B4160">
      <w:pPr>
        <w:pStyle w:val="SingleTxtG"/>
        <w:rPr>
          <w:rFonts w:eastAsia="Calibri"/>
          <w:lang w:val="es-ES_tradnl"/>
        </w:rPr>
      </w:pPr>
      <w:r>
        <w:rPr>
          <w:rFonts w:eastAsia="Calibri"/>
          <w:lang w:val="es-ES_tradnl"/>
        </w:rPr>
        <w:t>2.2</w:t>
      </w:r>
      <w:r>
        <w:rPr>
          <w:rFonts w:eastAsia="Calibri"/>
          <w:lang w:val="es-ES_tradnl"/>
        </w:rPr>
        <w:tab/>
      </w:r>
      <w:r w:rsidR="00A11466">
        <w:rPr>
          <w:rFonts w:eastAsia="Calibri"/>
          <w:lang w:val="es-ES_tradnl"/>
        </w:rPr>
        <w:t xml:space="preserve">Los autores </w:t>
      </w:r>
      <w:r w:rsidR="00B54BBD">
        <w:rPr>
          <w:rFonts w:eastAsia="Calibri"/>
          <w:lang w:val="es-ES_tradnl"/>
        </w:rPr>
        <w:t>habitan</w:t>
      </w:r>
      <w:r w:rsidR="00B54BBD" w:rsidRPr="00D873BF">
        <w:rPr>
          <w:rFonts w:eastAsia="Calibri"/>
          <w:lang w:val="es-ES_tradnl"/>
        </w:rPr>
        <w:t xml:space="preserve"> </w:t>
      </w:r>
      <w:r w:rsidR="007931EF">
        <w:rPr>
          <w:rFonts w:eastAsia="Calibri"/>
          <w:lang w:val="es-ES_tradnl"/>
        </w:rPr>
        <w:t xml:space="preserve">en el Departamento de Canindeyú, Distrito de Curuguaty, </w:t>
      </w:r>
      <w:r w:rsidR="00B54BBD">
        <w:rPr>
          <w:rFonts w:eastAsia="Calibri"/>
          <w:lang w:val="es-ES_tradnl"/>
        </w:rPr>
        <w:t>en la C</w:t>
      </w:r>
      <w:r w:rsidR="00B54BBD" w:rsidRPr="00A536F2">
        <w:rPr>
          <w:rFonts w:eastAsia="Calibri"/>
          <w:lang w:val="es-ES_tradnl"/>
        </w:rPr>
        <w:t>olonia Yerutí</w:t>
      </w:r>
      <w:r w:rsidR="000E37A1">
        <w:rPr>
          <w:rFonts w:eastAsia="Calibri"/>
          <w:lang w:val="es-ES_tradnl"/>
        </w:rPr>
        <w:t xml:space="preserve"> </w:t>
      </w:r>
      <w:r w:rsidR="00C85272">
        <w:rPr>
          <w:rFonts w:eastAsia="Calibri"/>
          <w:lang w:val="es-ES_tradnl"/>
        </w:rPr>
        <w:t>creada</w:t>
      </w:r>
      <w:r w:rsidR="00F96744">
        <w:rPr>
          <w:rFonts w:eastAsia="Calibri"/>
          <w:lang w:val="es-ES_tradnl"/>
        </w:rPr>
        <w:t xml:space="preserve"> </w:t>
      </w:r>
      <w:r w:rsidR="00742076">
        <w:rPr>
          <w:rFonts w:eastAsia="Calibri"/>
          <w:lang w:val="es-ES_tradnl"/>
        </w:rPr>
        <w:t xml:space="preserve">en 1991 </w:t>
      </w:r>
      <w:r w:rsidR="00F96744">
        <w:rPr>
          <w:rFonts w:eastAsia="Calibri"/>
          <w:lang w:val="es-ES_tradnl"/>
        </w:rPr>
        <w:t>sobre tierras de propiedad del Estado</w:t>
      </w:r>
      <w:r w:rsidR="00941671">
        <w:rPr>
          <w:rFonts w:eastAsia="Calibri"/>
          <w:lang w:val="es-ES_tradnl"/>
        </w:rPr>
        <w:t>,</w:t>
      </w:r>
      <w:r w:rsidR="00F96744">
        <w:rPr>
          <w:rFonts w:eastAsia="Calibri"/>
          <w:lang w:val="es-ES_tradnl"/>
        </w:rPr>
        <w:t xml:space="preserve"> </w:t>
      </w:r>
      <w:r w:rsidR="00941671">
        <w:rPr>
          <w:rFonts w:eastAsia="Calibri"/>
          <w:lang w:val="es-ES_tradnl"/>
        </w:rPr>
        <w:t xml:space="preserve">distribuidas a campesinos beneficiarios de la reforma agraria. </w:t>
      </w:r>
      <w:r w:rsidR="000D528A">
        <w:rPr>
          <w:rFonts w:eastAsia="Calibri"/>
          <w:lang w:val="es-ES_tradnl"/>
        </w:rPr>
        <w:t xml:space="preserve">La Colonia está administrada por el Instituto de Desarrollo Rural y de la Tierra (INDERT), institución gestora de la política de acceso a la tierra. </w:t>
      </w:r>
      <w:r w:rsidR="00763557">
        <w:rPr>
          <w:lang w:val="es-ES_tradnl"/>
        </w:rPr>
        <w:t>Se estima que</w:t>
      </w:r>
      <w:r w:rsidR="00464C09">
        <w:rPr>
          <w:lang w:val="es-ES_tradnl"/>
        </w:rPr>
        <w:t>,</w:t>
      </w:r>
      <w:r w:rsidR="00763557">
        <w:rPr>
          <w:lang w:val="es-ES_tradnl"/>
        </w:rPr>
        <w:t xml:space="preserve"> en 2011</w:t>
      </w:r>
      <w:r w:rsidR="00125BA6">
        <w:rPr>
          <w:lang w:val="es-ES_tradnl"/>
        </w:rPr>
        <w:t>,</w:t>
      </w:r>
      <w:r w:rsidR="00763557">
        <w:rPr>
          <w:lang w:val="es-ES_tradnl"/>
        </w:rPr>
        <w:t xml:space="preserve"> la</w:t>
      </w:r>
      <w:r w:rsidR="00763557" w:rsidRPr="00536E89">
        <w:rPr>
          <w:lang w:val="es-ES"/>
        </w:rPr>
        <w:t xml:space="preserve"> </w:t>
      </w:r>
      <w:r w:rsidR="00763557" w:rsidRPr="00536E89">
        <w:rPr>
          <w:lang w:val="es-ES_tradnl"/>
        </w:rPr>
        <w:t>Colonia Yerutí</w:t>
      </w:r>
      <w:r w:rsidR="00763557">
        <w:rPr>
          <w:lang w:val="es-ES_tradnl"/>
        </w:rPr>
        <w:t xml:space="preserve"> se componía </w:t>
      </w:r>
      <w:r w:rsidR="007F3BED">
        <w:rPr>
          <w:lang w:val="es-ES_tradnl"/>
        </w:rPr>
        <w:t>d</w:t>
      </w:r>
      <w:r w:rsidR="00763557">
        <w:rPr>
          <w:lang w:val="es-ES_tradnl"/>
        </w:rPr>
        <w:t>e 400 personas</w:t>
      </w:r>
      <w:r w:rsidR="00464C09" w:rsidRPr="00464C09">
        <w:rPr>
          <w:lang w:val="es-ES_tradnl"/>
        </w:rPr>
        <w:t xml:space="preserve"> </w:t>
      </w:r>
      <w:r w:rsidR="00464C09">
        <w:rPr>
          <w:lang w:val="es-ES_tradnl"/>
        </w:rPr>
        <w:t>aproximadamente</w:t>
      </w:r>
      <w:r w:rsidR="000D528A">
        <w:rPr>
          <w:lang w:val="es-ES_tradnl"/>
        </w:rPr>
        <w:t xml:space="preserve">, resultado de un proceso de </w:t>
      </w:r>
      <w:r w:rsidR="006A3749">
        <w:rPr>
          <w:lang w:val="es-ES_tradnl"/>
        </w:rPr>
        <w:t>e</w:t>
      </w:r>
      <w:r w:rsidR="000D528A">
        <w:rPr>
          <w:lang w:val="es-ES_tradnl"/>
        </w:rPr>
        <w:t>migración</w:t>
      </w:r>
      <w:r w:rsidR="007F3BED">
        <w:rPr>
          <w:lang w:val="es-ES_tradnl"/>
        </w:rPr>
        <w:t xml:space="preserve"> causado</w:t>
      </w:r>
      <w:r w:rsidR="000D528A">
        <w:rPr>
          <w:lang w:val="es-ES_tradnl"/>
        </w:rPr>
        <w:t xml:space="preserve"> </w:t>
      </w:r>
      <w:r w:rsidR="007F3BED">
        <w:rPr>
          <w:lang w:val="es-ES_tradnl"/>
        </w:rPr>
        <w:t>por</w:t>
      </w:r>
      <w:r w:rsidR="000D528A">
        <w:rPr>
          <w:lang w:val="es-ES_tradnl"/>
        </w:rPr>
        <w:t xml:space="preserve"> la falta de condiciones de vida digna</w:t>
      </w:r>
      <w:r w:rsidR="007F3BED">
        <w:rPr>
          <w:lang w:val="es-ES_tradnl"/>
        </w:rPr>
        <w:t xml:space="preserve"> (</w:t>
      </w:r>
      <w:r w:rsidR="000B75A5">
        <w:rPr>
          <w:lang w:val="es-ES_tradnl"/>
        </w:rPr>
        <w:t>difícil acceso a los servicios públicos</w:t>
      </w:r>
      <w:r w:rsidR="007F3BED">
        <w:rPr>
          <w:lang w:val="es-ES_tradnl"/>
        </w:rPr>
        <w:t xml:space="preserve">, </w:t>
      </w:r>
      <w:r w:rsidR="00227531">
        <w:rPr>
          <w:lang w:val="es-ES_tradnl"/>
        </w:rPr>
        <w:t xml:space="preserve">numerosas </w:t>
      </w:r>
      <w:r w:rsidR="00204D1A">
        <w:rPr>
          <w:lang w:val="es-ES_tradnl"/>
        </w:rPr>
        <w:t xml:space="preserve">fumigaciones con agro-tóxicos y </w:t>
      </w:r>
      <w:r w:rsidR="000D528A">
        <w:rPr>
          <w:lang w:val="es-ES_tradnl"/>
        </w:rPr>
        <w:t xml:space="preserve">contaminación </w:t>
      </w:r>
      <w:r w:rsidR="00227531">
        <w:rPr>
          <w:lang w:val="es-ES_tradnl"/>
        </w:rPr>
        <w:t xml:space="preserve">cada vez mayor </w:t>
      </w:r>
      <w:r w:rsidR="000D528A">
        <w:rPr>
          <w:lang w:val="es-ES_tradnl"/>
        </w:rPr>
        <w:t>de los cursos de agua</w:t>
      </w:r>
      <w:r w:rsidR="00D62E7F">
        <w:rPr>
          <w:lang w:val="es-ES_tradnl"/>
        </w:rPr>
        <w:t>)</w:t>
      </w:r>
      <w:r w:rsidR="00763557">
        <w:rPr>
          <w:lang w:val="es-ES_tradnl"/>
        </w:rPr>
        <w:t>.</w:t>
      </w:r>
      <w:r w:rsidR="00763557">
        <w:rPr>
          <w:rFonts w:eastAsia="Calibri"/>
          <w:lang w:val="es-ES_tradnl"/>
        </w:rPr>
        <w:t xml:space="preserve"> </w:t>
      </w:r>
    </w:p>
    <w:p w:rsidR="00AA30B3" w:rsidRDefault="004F76A8" w:rsidP="003F73EF">
      <w:pPr>
        <w:pStyle w:val="SingleTxtG"/>
        <w:rPr>
          <w:lang w:val="es-ES"/>
        </w:rPr>
      </w:pPr>
      <w:r>
        <w:rPr>
          <w:rFonts w:eastAsia="Calibri"/>
          <w:lang w:val="es-ES_tradnl"/>
        </w:rPr>
        <w:t>2.3</w:t>
      </w:r>
      <w:r>
        <w:rPr>
          <w:rFonts w:eastAsia="Calibri"/>
          <w:lang w:val="es-ES_tradnl"/>
        </w:rPr>
        <w:tab/>
      </w:r>
      <w:r w:rsidR="00791AD4">
        <w:rPr>
          <w:rFonts w:eastAsia="Calibri"/>
          <w:lang w:val="es-ES_tradnl"/>
        </w:rPr>
        <w:t>L</w:t>
      </w:r>
      <w:r w:rsidR="00A536F2" w:rsidRPr="00A536F2">
        <w:rPr>
          <w:rFonts w:eastAsia="Calibri"/>
          <w:lang w:val="es-ES_tradnl"/>
        </w:rPr>
        <w:t xml:space="preserve">a </w:t>
      </w:r>
      <w:r w:rsidRPr="004F76A8">
        <w:rPr>
          <w:rFonts w:eastAsia="Calibri"/>
          <w:lang w:val="es-ES_tradnl"/>
        </w:rPr>
        <w:t xml:space="preserve">Colonia </w:t>
      </w:r>
      <w:r w:rsidR="00452C5C">
        <w:rPr>
          <w:rFonts w:eastAsia="Calibri"/>
          <w:lang w:val="es-ES_tradnl"/>
        </w:rPr>
        <w:t>est</w:t>
      </w:r>
      <w:r w:rsidR="00A66113">
        <w:rPr>
          <w:rFonts w:eastAsia="Calibri"/>
          <w:lang w:val="es-ES_tradnl"/>
        </w:rPr>
        <w:t>á ubicada en una</w:t>
      </w:r>
      <w:r w:rsidR="00452C5C">
        <w:rPr>
          <w:rFonts w:eastAsia="Calibri"/>
          <w:lang w:val="es-ES_tradnl"/>
        </w:rPr>
        <w:t xml:space="preserve"> de las zonas de mayor expansión del agro</w:t>
      </w:r>
      <w:r w:rsidR="00282A0D">
        <w:rPr>
          <w:rFonts w:eastAsia="Calibri"/>
          <w:lang w:val="es-ES_tradnl"/>
        </w:rPr>
        <w:t>-</w:t>
      </w:r>
      <w:r w:rsidR="00452C5C">
        <w:rPr>
          <w:rFonts w:eastAsia="Calibri"/>
          <w:lang w:val="es-ES_tradnl"/>
        </w:rPr>
        <w:t xml:space="preserve">negocio, </w:t>
      </w:r>
      <w:r w:rsidR="00A536F2" w:rsidRPr="00A536F2">
        <w:rPr>
          <w:rFonts w:eastAsia="Calibri"/>
          <w:lang w:val="es-ES_tradnl"/>
        </w:rPr>
        <w:t>rodeada por antiguas haciendas ganaderas que</w:t>
      </w:r>
      <w:r w:rsidR="00A8566B">
        <w:rPr>
          <w:rFonts w:eastAsia="Calibri"/>
          <w:lang w:val="es-ES_tradnl"/>
        </w:rPr>
        <w:t>,</w:t>
      </w:r>
      <w:r w:rsidR="00A536F2" w:rsidRPr="00A536F2">
        <w:rPr>
          <w:rFonts w:eastAsia="Calibri"/>
          <w:lang w:val="es-ES_tradnl"/>
        </w:rPr>
        <w:t xml:space="preserve"> </w:t>
      </w:r>
      <w:r w:rsidR="00A8566B">
        <w:rPr>
          <w:rFonts w:eastAsia="Calibri"/>
          <w:lang w:val="es-ES_tradnl"/>
        </w:rPr>
        <w:t>desde aproximadamente 2005,</w:t>
      </w:r>
      <w:r w:rsidR="00A536F2" w:rsidRPr="00A536F2">
        <w:rPr>
          <w:rFonts w:eastAsia="Calibri"/>
          <w:lang w:val="es-ES_tradnl"/>
        </w:rPr>
        <w:t xml:space="preserve"> se dedican al </w:t>
      </w:r>
      <w:r>
        <w:rPr>
          <w:rFonts w:eastAsia="Calibri"/>
          <w:lang w:val="es-ES_tradnl"/>
        </w:rPr>
        <w:t>mono</w:t>
      </w:r>
      <w:r w:rsidR="00A536F2" w:rsidRPr="00A536F2">
        <w:rPr>
          <w:rFonts w:eastAsia="Calibri"/>
          <w:lang w:val="es-ES_tradnl"/>
        </w:rPr>
        <w:t xml:space="preserve">cultivo </w:t>
      </w:r>
      <w:r w:rsidR="00F423AE" w:rsidRPr="00A536F2">
        <w:rPr>
          <w:rFonts w:eastAsia="Calibri"/>
          <w:lang w:val="es-ES_tradnl"/>
        </w:rPr>
        <w:t xml:space="preserve">extensivo </w:t>
      </w:r>
      <w:r w:rsidR="00F423AE">
        <w:rPr>
          <w:rFonts w:eastAsia="Calibri"/>
          <w:lang w:val="es-ES_tradnl"/>
        </w:rPr>
        <w:t xml:space="preserve">y </w:t>
      </w:r>
      <w:r w:rsidR="00F331C3">
        <w:rPr>
          <w:rFonts w:eastAsia="Calibri"/>
          <w:lang w:val="es-ES_tradnl"/>
        </w:rPr>
        <w:t xml:space="preserve">mecanizado </w:t>
      </w:r>
      <w:r w:rsidR="00A536F2" w:rsidRPr="00A536F2">
        <w:rPr>
          <w:rFonts w:eastAsia="Calibri"/>
          <w:lang w:val="es-ES_tradnl"/>
        </w:rPr>
        <w:t>de semillas</w:t>
      </w:r>
      <w:r w:rsidR="00BA367C" w:rsidRPr="00BA367C">
        <w:rPr>
          <w:rFonts w:eastAsia="Calibri"/>
          <w:lang w:val="es-ES_tradnl"/>
        </w:rPr>
        <w:t xml:space="preserve"> </w:t>
      </w:r>
      <w:r w:rsidR="00665703" w:rsidRPr="007C2FC7">
        <w:rPr>
          <w:rFonts w:eastAsia="Calibri"/>
          <w:lang w:val="es-ES_tradnl"/>
        </w:rPr>
        <w:t>de soja</w:t>
      </w:r>
      <w:r w:rsidR="00665703">
        <w:rPr>
          <w:rFonts w:eastAsia="Calibri"/>
          <w:lang w:val="es-ES_tradnl"/>
        </w:rPr>
        <w:t xml:space="preserve"> </w:t>
      </w:r>
      <w:r w:rsidR="00BA367C">
        <w:rPr>
          <w:rFonts w:eastAsia="Calibri"/>
          <w:lang w:val="es-ES_tradnl"/>
        </w:rPr>
        <w:t>genéticamente modificadas</w:t>
      </w:r>
      <w:r w:rsidR="00DB0310" w:rsidRPr="007C2FC7">
        <w:rPr>
          <w:rFonts w:eastAsia="Calibri"/>
          <w:lang w:val="es-ES_tradnl"/>
        </w:rPr>
        <w:t>.</w:t>
      </w:r>
      <w:r w:rsidR="00D33A1E" w:rsidRPr="007C2FC7">
        <w:rPr>
          <w:rFonts w:eastAsia="Calibri"/>
          <w:lang w:val="es-ES_tradnl"/>
        </w:rPr>
        <w:t xml:space="preserve"> </w:t>
      </w:r>
      <w:r w:rsidR="00715CD6">
        <w:rPr>
          <w:rFonts w:eastAsia="Calibri"/>
          <w:lang w:val="es-ES_tradnl"/>
        </w:rPr>
        <w:t>El domicilio</w:t>
      </w:r>
      <w:r w:rsidR="00D33A1E">
        <w:rPr>
          <w:rFonts w:eastAsia="Calibri"/>
          <w:lang w:val="es-ES_tradnl"/>
        </w:rPr>
        <w:t xml:space="preserve"> de los autores se encuentra en el límite sureste de la Colonia y colinda con</w:t>
      </w:r>
      <w:r w:rsidR="00DA4A9D">
        <w:rPr>
          <w:rFonts w:eastAsia="Calibri"/>
          <w:lang w:val="es-ES_tradnl"/>
        </w:rPr>
        <w:t xml:space="preserve"> explotaciones agrícolas,</w:t>
      </w:r>
      <w:r w:rsidR="008A5DF4">
        <w:rPr>
          <w:rFonts w:eastAsia="Calibri"/>
          <w:lang w:val="es-ES_tradnl"/>
        </w:rPr>
        <w:t xml:space="preserve"> </w:t>
      </w:r>
      <w:r w:rsidR="00DA4A9D">
        <w:rPr>
          <w:rFonts w:eastAsia="Calibri"/>
          <w:lang w:val="es-ES_tradnl"/>
        </w:rPr>
        <w:t>dentro y fuera de la Colonia</w:t>
      </w:r>
      <w:r w:rsidR="00824BA9">
        <w:rPr>
          <w:rFonts w:eastAsia="Calibri"/>
          <w:lang w:val="es-ES_tradnl"/>
        </w:rPr>
        <w:t>.</w:t>
      </w:r>
      <w:r w:rsidR="006A3749">
        <w:rPr>
          <w:rFonts w:eastAsia="Calibri"/>
          <w:lang w:val="es-ES_tradnl"/>
        </w:rPr>
        <w:t xml:space="preserve"> Dichas</w:t>
      </w:r>
      <w:r w:rsidR="0097279B">
        <w:rPr>
          <w:rFonts w:eastAsia="Calibri"/>
          <w:lang w:val="es-ES_tradnl"/>
        </w:rPr>
        <w:t xml:space="preserve"> </w:t>
      </w:r>
      <w:r w:rsidR="008A5DF4" w:rsidRPr="008A5DF4">
        <w:rPr>
          <w:rFonts w:eastAsia="Calibri"/>
          <w:lang w:val="es-ES_tradnl"/>
        </w:rPr>
        <w:t>explotaciones</w:t>
      </w:r>
      <w:r w:rsidR="008473F2" w:rsidRPr="00565D99">
        <w:rPr>
          <w:rFonts w:eastAsia="Calibri"/>
          <w:lang w:val="es-ES_tradnl"/>
        </w:rPr>
        <w:t>,</w:t>
      </w:r>
      <w:r w:rsidR="008473F2">
        <w:rPr>
          <w:rFonts w:eastAsia="Calibri"/>
          <w:lang w:val="es-ES_tradnl"/>
        </w:rPr>
        <w:t xml:space="preserve"> que</w:t>
      </w:r>
      <w:r w:rsidR="0097279B">
        <w:rPr>
          <w:rFonts w:eastAsia="Calibri"/>
          <w:lang w:val="es-ES_tradnl"/>
        </w:rPr>
        <w:t xml:space="preserve"> </w:t>
      </w:r>
      <w:r w:rsidR="008473F2">
        <w:rPr>
          <w:rFonts w:eastAsia="Calibri"/>
          <w:lang w:val="es-ES_tradnl"/>
        </w:rPr>
        <w:t xml:space="preserve">fumigan masivamente mediante lanzamiento de </w:t>
      </w:r>
      <w:r w:rsidR="008473F2" w:rsidRPr="000908C8">
        <w:rPr>
          <w:rFonts w:eastAsia="Calibri"/>
          <w:lang w:val="es-ES_tradnl"/>
        </w:rPr>
        <w:t xml:space="preserve">agro-tóxicos </w:t>
      </w:r>
      <w:r w:rsidR="008473F2">
        <w:rPr>
          <w:rFonts w:eastAsia="Calibri"/>
          <w:lang w:val="es-ES_tradnl"/>
        </w:rPr>
        <w:t xml:space="preserve">desde tractores y avionetas, sistemáticamente incumplieron la normativa </w:t>
      </w:r>
      <w:r w:rsidR="005E05FA">
        <w:rPr>
          <w:rFonts w:eastAsia="Calibri"/>
          <w:lang w:val="es-ES_tradnl"/>
        </w:rPr>
        <w:t xml:space="preserve">ambiental </w:t>
      </w:r>
      <w:r w:rsidR="008473F2">
        <w:rPr>
          <w:rFonts w:eastAsia="Calibri"/>
          <w:lang w:val="es-ES_tradnl"/>
        </w:rPr>
        <w:t>de derecho interno</w:t>
      </w:r>
      <w:r w:rsidR="00F92718">
        <w:rPr>
          <w:rFonts w:eastAsia="Calibri"/>
          <w:lang w:val="es-ES_tradnl"/>
        </w:rPr>
        <w:t>.</w:t>
      </w:r>
      <w:r w:rsidR="00F642F0">
        <w:rPr>
          <w:rFonts w:eastAsia="Calibri"/>
          <w:lang w:val="es-ES_tradnl"/>
        </w:rPr>
        <w:t xml:space="preserve"> </w:t>
      </w:r>
      <w:r w:rsidR="00E147ED" w:rsidRPr="00CC6392">
        <w:rPr>
          <w:rFonts w:eastAsia="Calibri"/>
          <w:lang w:val="es-ES_tradnl"/>
        </w:rPr>
        <w:t xml:space="preserve">En particular, </w:t>
      </w:r>
      <w:r w:rsidR="00F642F0">
        <w:rPr>
          <w:rFonts w:eastAsia="Calibri"/>
          <w:lang w:val="es-ES_tradnl"/>
        </w:rPr>
        <w:t>se sembr</w:t>
      </w:r>
      <w:r w:rsidR="003F73EF">
        <w:rPr>
          <w:rFonts w:eastAsia="Calibri"/>
          <w:lang w:val="es-ES_tradnl"/>
        </w:rPr>
        <w:t>aron</w:t>
      </w:r>
      <w:r w:rsidR="00F642F0">
        <w:rPr>
          <w:rFonts w:eastAsia="Calibri"/>
          <w:lang w:val="es-ES_tradnl"/>
        </w:rPr>
        <w:t xml:space="preserve"> </w:t>
      </w:r>
      <w:r w:rsidR="003F73EF">
        <w:rPr>
          <w:rFonts w:eastAsia="Calibri"/>
          <w:lang w:val="es-ES_tradnl"/>
        </w:rPr>
        <w:t>los</w:t>
      </w:r>
      <w:r w:rsidR="00F642F0">
        <w:rPr>
          <w:rFonts w:eastAsia="Calibri"/>
          <w:lang w:val="es-ES_tradnl"/>
        </w:rPr>
        <w:t xml:space="preserve"> cultivo</w:t>
      </w:r>
      <w:r w:rsidR="003F73EF">
        <w:rPr>
          <w:rFonts w:eastAsia="Calibri"/>
          <w:lang w:val="es-ES_tradnl"/>
        </w:rPr>
        <w:t>s</w:t>
      </w:r>
      <w:r w:rsidR="00F642F0">
        <w:rPr>
          <w:rFonts w:eastAsia="Calibri"/>
          <w:lang w:val="es-ES_tradnl"/>
        </w:rPr>
        <w:t xml:space="preserve"> de</w:t>
      </w:r>
      <w:r w:rsidR="00F642F0" w:rsidRPr="00CC6392">
        <w:rPr>
          <w:rFonts w:eastAsia="Calibri"/>
          <w:lang w:val="es-ES_tradnl"/>
        </w:rPr>
        <w:t xml:space="preserve"> </w:t>
      </w:r>
      <w:r w:rsidR="00CB570F" w:rsidRPr="00CC6392">
        <w:rPr>
          <w:rFonts w:eastAsia="Calibri"/>
          <w:lang w:val="es-ES_tradnl"/>
        </w:rPr>
        <w:t xml:space="preserve">soja hasta los bordes de los caminos públicos, </w:t>
      </w:r>
      <w:r w:rsidR="00117A8E" w:rsidRPr="00CC6392">
        <w:rPr>
          <w:rFonts w:eastAsia="Calibri"/>
          <w:lang w:val="es-ES_tradnl"/>
        </w:rPr>
        <w:t xml:space="preserve">en violación </w:t>
      </w:r>
      <w:r w:rsidR="00FF6DD8">
        <w:rPr>
          <w:rFonts w:eastAsia="Calibri"/>
          <w:lang w:val="es-ES_tradnl"/>
        </w:rPr>
        <w:t>a</w:t>
      </w:r>
      <w:r w:rsidR="00E147ED" w:rsidRPr="00CC6392">
        <w:rPr>
          <w:rFonts w:eastAsia="Calibri"/>
          <w:lang w:val="es-ES_tradnl"/>
        </w:rPr>
        <w:t xml:space="preserve"> </w:t>
      </w:r>
      <w:r w:rsidR="006123D4" w:rsidRPr="00CC6392">
        <w:rPr>
          <w:rFonts w:eastAsia="Calibri"/>
          <w:lang w:val="es-ES_tradnl"/>
        </w:rPr>
        <w:t>la normativa interna</w:t>
      </w:r>
      <w:r w:rsidR="00FF6DD8">
        <w:rPr>
          <w:rFonts w:eastAsia="Calibri"/>
          <w:lang w:val="es-ES_tradnl"/>
        </w:rPr>
        <w:t xml:space="preserve"> que</w:t>
      </w:r>
      <w:r w:rsidR="00E147ED" w:rsidRPr="00CC6392">
        <w:rPr>
          <w:rFonts w:eastAsia="Calibri"/>
          <w:lang w:val="es-ES_tradnl"/>
        </w:rPr>
        <w:t xml:space="preserve"> establece que, en caso de </w:t>
      </w:r>
      <w:r w:rsidR="00117A8E" w:rsidRPr="00CC6392">
        <w:rPr>
          <w:rFonts w:eastAsia="Calibri"/>
          <w:lang w:val="es-ES_tradnl"/>
        </w:rPr>
        <w:t xml:space="preserve">aplicación de plaguicidas en </w:t>
      </w:r>
      <w:r w:rsidR="00E147ED" w:rsidRPr="00CC6392">
        <w:rPr>
          <w:rFonts w:eastAsia="Calibri"/>
          <w:lang w:val="es-ES_tradnl"/>
        </w:rPr>
        <w:t>cultivos colindantes con caminos vecinales poblados, se deberá contar con barreras vivas de protección</w:t>
      </w:r>
      <w:r w:rsidR="00117A8E" w:rsidRPr="00CC6392">
        <w:rPr>
          <w:rFonts w:eastAsia="Calibri"/>
          <w:lang w:val="es-ES_tradnl"/>
        </w:rPr>
        <w:t xml:space="preserve"> de un </w:t>
      </w:r>
      <w:r w:rsidR="00E147ED" w:rsidRPr="00CC6392">
        <w:rPr>
          <w:rFonts w:eastAsia="Calibri"/>
          <w:lang w:val="es-ES_tradnl"/>
        </w:rPr>
        <w:t xml:space="preserve">ancho mínimo de </w:t>
      </w:r>
      <w:r w:rsidR="00117A8E" w:rsidRPr="00CC6392">
        <w:rPr>
          <w:rFonts w:eastAsia="Calibri"/>
          <w:lang w:val="es-ES_tradnl"/>
        </w:rPr>
        <w:t>cinco metros,</w:t>
      </w:r>
      <w:r w:rsidR="00E147ED" w:rsidRPr="00CC6392">
        <w:rPr>
          <w:rFonts w:eastAsia="Calibri"/>
          <w:lang w:val="es-ES_tradnl"/>
        </w:rPr>
        <w:t xml:space="preserve"> </w:t>
      </w:r>
      <w:r w:rsidR="00117A8E" w:rsidRPr="00CC6392">
        <w:rPr>
          <w:rFonts w:eastAsia="Calibri"/>
          <w:lang w:val="es-ES_tradnl"/>
        </w:rPr>
        <w:t>de follaje denso</w:t>
      </w:r>
      <w:r w:rsidR="00CC6392" w:rsidRPr="00CC6392">
        <w:rPr>
          <w:rFonts w:eastAsia="Calibri"/>
          <w:lang w:val="es-ES_tradnl"/>
        </w:rPr>
        <w:t>,</w:t>
      </w:r>
      <w:r w:rsidR="00117A8E" w:rsidRPr="00CC6392">
        <w:rPr>
          <w:rFonts w:eastAsia="Calibri"/>
          <w:lang w:val="es-ES_tradnl"/>
        </w:rPr>
        <w:t xml:space="preserve"> y de </w:t>
      </w:r>
      <w:r w:rsidR="00E147ED" w:rsidRPr="00CC6392">
        <w:rPr>
          <w:rFonts w:eastAsia="Calibri"/>
          <w:lang w:val="es-ES_tradnl"/>
        </w:rPr>
        <w:t>altura mínima</w:t>
      </w:r>
      <w:r w:rsidR="00117A8E" w:rsidRPr="00CC6392">
        <w:rPr>
          <w:rFonts w:eastAsia="Calibri"/>
          <w:lang w:val="es-ES_tradnl"/>
        </w:rPr>
        <w:t xml:space="preserve"> de dos metros. E</w:t>
      </w:r>
      <w:r w:rsidR="00E147ED" w:rsidRPr="00CC6392">
        <w:rPr>
          <w:rFonts w:eastAsia="Calibri"/>
          <w:lang w:val="es-ES_tradnl"/>
        </w:rPr>
        <w:t xml:space="preserve">n caso de no disponer de barreras </w:t>
      </w:r>
      <w:r w:rsidR="00117A8E" w:rsidRPr="00CC6392">
        <w:rPr>
          <w:rFonts w:eastAsia="Calibri"/>
          <w:lang w:val="es-ES_tradnl"/>
        </w:rPr>
        <w:t xml:space="preserve">vivas </w:t>
      </w:r>
      <w:r w:rsidR="00E147ED" w:rsidRPr="00CC6392">
        <w:rPr>
          <w:rFonts w:eastAsia="Calibri"/>
          <w:lang w:val="es-ES_tradnl"/>
        </w:rPr>
        <w:t xml:space="preserve">de protección, </w:t>
      </w:r>
      <w:r w:rsidR="006123D4" w:rsidRPr="00CC6392">
        <w:rPr>
          <w:rFonts w:eastAsia="Calibri"/>
          <w:lang w:val="es-ES_tradnl"/>
        </w:rPr>
        <w:t xml:space="preserve">la normativa interna dispone que </w:t>
      </w:r>
      <w:r w:rsidR="00E147ED" w:rsidRPr="00CC6392">
        <w:rPr>
          <w:rFonts w:eastAsia="Calibri"/>
          <w:lang w:val="es-ES_tradnl"/>
        </w:rPr>
        <w:t>se dejará</w:t>
      </w:r>
      <w:r w:rsidR="00FF6DD8">
        <w:rPr>
          <w:rFonts w:eastAsia="Calibri"/>
          <w:lang w:val="es-ES_tradnl"/>
        </w:rPr>
        <w:t>,</w:t>
      </w:r>
      <w:r w:rsidR="00E147ED" w:rsidRPr="00CC6392">
        <w:rPr>
          <w:rFonts w:eastAsia="Calibri"/>
          <w:lang w:val="es-ES_tradnl"/>
        </w:rPr>
        <w:t xml:space="preserve"> </w:t>
      </w:r>
      <w:r w:rsidR="00CC6392" w:rsidRPr="00CC6392">
        <w:rPr>
          <w:rFonts w:eastAsia="Calibri"/>
          <w:lang w:val="es-ES_tradnl"/>
        </w:rPr>
        <w:t>sin aplicar plaguicidas</w:t>
      </w:r>
      <w:r w:rsidR="00FF6DD8">
        <w:rPr>
          <w:rFonts w:eastAsia="Calibri"/>
          <w:lang w:val="es-ES_tradnl"/>
        </w:rPr>
        <w:t>,</w:t>
      </w:r>
      <w:r w:rsidR="00CC6392" w:rsidRPr="00CC6392">
        <w:rPr>
          <w:rFonts w:eastAsia="Calibri"/>
          <w:lang w:val="es-ES_tradnl"/>
        </w:rPr>
        <w:t xml:space="preserve"> </w:t>
      </w:r>
      <w:r w:rsidR="00E147ED" w:rsidRPr="00CC6392">
        <w:rPr>
          <w:rFonts w:eastAsia="Calibri"/>
          <w:lang w:val="es-ES_tradnl"/>
        </w:rPr>
        <w:t>una franja de 50 metros de distanc</w:t>
      </w:r>
      <w:r w:rsidR="00CC6392">
        <w:rPr>
          <w:rFonts w:eastAsia="Calibri"/>
          <w:lang w:val="es-ES_tradnl"/>
        </w:rPr>
        <w:t xml:space="preserve">ia con </w:t>
      </w:r>
      <w:r w:rsidR="00CC6392">
        <w:rPr>
          <w:rFonts w:eastAsia="Calibri"/>
          <w:lang w:val="es-ES_tradnl"/>
        </w:rPr>
        <w:lastRenderedPageBreak/>
        <w:t>los caminos colindantes.</w:t>
      </w:r>
      <w:r w:rsidR="00CC6392">
        <w:rPr>
          <w:rStyle w:val="FootnoteReference"/>
          <w:rFonts w:eastAsia="Calibri"/>
          <w:lang w:val="es-ES_tradnl"/>
        </w:rPr>
        <w:footnoteReference w:id="3"/>
      </w:r>
      <w:r w:rsidR="00F642F0" w:rsidRPr="00F642F0">
        <w:rPr>
          <w:rFonts w:eastAsia="Calibri"/>
          <w:lang w:val="es-ES_tradnl"/>
        </w:rPr>
        <w:t xml:space="preserve"> </w:t>
      </w:r>
      <w:r w:rsidR="00F1098A">
        <w:rPr>
          <w:rFonts w:eastAsia="Calibri"/>
          <w:lang w:val="es-ES_tradnl"/>
        </w:rPr>
        <w:t>Además, las</w:t>
      </w:r>
      <w:r w:rsidR="00F1098A" w:rsidRPr="00E14866">
        <w:rPr>
          <w:rFonts w:eastAsia="Calibri"/>
          <w:lang w:val="es-ES_tradnl"/>
        </w:rPr>
        <w:t xml:space="preserve"> </w:t>
      </w:r>
      <w:r w:rsidR="00F1098A" w:rsidRPr="008A5DF4">
        <w:rPr>
          <w:rFonts w:eastAsia="Calibri"/>
          <w:lang w:val="es-ES_tradnl"/>
        </w:rPr>
        <w:t xml:space="preserve">explotaciones </w:t>
      </w:r>
      <w:r w:rsidR="00F1098A" w:rsidRPr="00565D99">
        <w:rPr>
          <w:rFonts w:eastAsia="Calibri"/>
          <w:lang w:val="es-ES_tradnl"/>
        </w:rPr>
        <w:t xml:space="preserve">agrícolas </w:t>
      </w:r>
      <w:r w:rsidR="00F1098A">
        <w:rPr>
          <w:rFonts w:eastAsia="Calibri"/>
          <w:lang w:val="es-ES_tradnl"/>
        </w:rPr>
        <w:t>sembraron</w:t>
      </w:r>
      <w:r w:rsidR="00F1098A" w:rsidRPr="00E14866">
        <w:rPr>
          <w:rFonts w:eastAsia="Calibri"/>
          <w:lang w:val="es-ES_tradnl"/>
        </w:rPr>
        <w:t xml:space="preserve"> soja hasta los bordes de</w:t>
      </w:r>
      <w:r w:rsidR="00C15801">
        <w:rPr>
          <w:rFonts w:eastAsia="Calibri"/>
          <w:lang w:val="es-ES_tradnl"/>
        </w:rPr>
        <w:t>l</w:t>
      </w:r>
      <w:r w:rsidR="00F1098A" w:rsidRPr="00E14866">
        <w:rPr>
          <w:rFonts w:eastAsia="Calibri"/>
          <w:lang w:val="es-ES_tradnl"/>
        </w:rPr>
        <w:t xml:space="preserve"> </w:t>
      </w:r>
      <w:r w:rsidR="00C15801">
        <w:rPr>
          <w:rFonts w:eastAsia="Calibri"/>
          <w:lang w:val="es-ES_tradnl"/>
        </w:rPr>
        <w:t>domicilio</w:t>
      </w:r>
      <w:r w:rsidR="00F1098A">
        <w:rPr>
          <w:rFonts w:eastAsia="Calibri"/>
          <w:lang w:val="es-ES_tradnl"/>
        </w:rPr>
        <w:t xml:space="preserve"> de los autores, en violación de</w:t>
      </w:r>
      <w:r w:rsidR="00F1098A" w:rsidRPr="00E14866">
        <w:rPr>
          <w:rFonts w:eastAsia="Calibri"/>
          <w:lang w:val="es-ES_tradnl"/>
        </w:rPr>
        <w:t xml:space="preserve"> la normativa interna </w:t>
      </w:r>
      <w:r w:rsidR="00F1098A">
        <w:rPr>
          <w:rFonts w:eastAsia="Calibri"/>
          <w:lang w:val="es-ES_tradnl"/>
        </w:rPr>
        <w:t>que obliga</w:t>
      </w:r>
      <w:r w:rsidR="00F1098A" w:rsidRPr="00594DD1">
        <w:rPr>
          <w:rFonts w:eastAsia="Calibri"/>
          <w:lang w:val="es-ES_tradnl"/>
        </w:rPr>
        <w:t xml:space="preserve"> </w:t>
      </w:r>
      <w:r w:rsidR="00F1098A">
        <w:rPr>
          <w:rFonts w:eastAsia="Calibri"/>
          <w:lang w:val="es-ES_tradnl"/>
        </w:rPr>
        <w:t>a implementar</w:t>
      </w:r>
      <w:r w:rsidR="00F1098A" w:rsidRPr="00594DD1">
        <w:rPr>
          <w:rFonts w:eastAsia="Calibri"/>
          <w:lang w:val="es-ES_tradnl"/>
        </w:rPr>
        <w:t xml:space="preserve"> una franja de seguridad de cien metros </w:t>
      </w:r>
      <w:r w:rsidR="00F1098A">
        <w:rPr>
          <w:rFonts w:eastAsia="Calibri"/>
          <w:lang w:val="es-ES_tradnl"/>
        </w:rPr>
        <w:t xml:space="preserve">entre la </w:t>
      </w:r>
      <w:r w:rsidR="00F1098A" w:rsidRPr="00594DD1">
        <w:rPr>
          <w:rFonts w:eastAsia="Calibri"/>
          <w:lang w:val="es-ES_tradnl"/>
        </w:rPr>
        <w:t xml:space="preserve">aplicación de plaguicidas </w:t>
      </w:r>
      <w:r w:rsidR="00F1098A">
        <w:rPr>
          <w:rFonts w:eastAsia="Calibri"/>
          <w:lang w:val="es-ES_tradnl"/>
        </w:rPr>
        <w:t>y</w:t>
      </w:r>
      <w:r w:rsidR="00F1098A" w:rsidRPr="00594DD1">
        <w:rPr>
          <w:rFonts w:eastAsia="Calibri"/>
          <w:lang w:val="es-ES_tradnl"/>
        </w:rPr>
        <w:t xml:space="preserve"> asentamientos humanos, centros educativos, centros y pu</w:t>
      </w:r>
      <w:r w:rsidR="00F1098A">
        <w:rPr>
          <w:rFonts w:eastAsia="Calibri"/>
          <w:lang w:val="es-ES_tradnl"/>
        </w:rPr>
        <w:t>estos de salud, templos, plazas</w:t>
      </w:r>
      <w:r w:rsidR="00F1098A" w:rsidRPr="00594DD1">
        <w:rPr>
          <w:rFonts w:eastAsia="Calibri"/>
          <w:lang w:val="es-ES_tradnl"/>
        </w:rPr>
        <w:t xml:space="preserve"> y lugares de concurrencia pública</w:t>
      </w:r>
      <w:r w:rsidR="00F1098A">
        <w:rPr>
          <w:rFonts w:eastAsia="Calibri"/>
          <w:lang w:val="es-ES_tradnl"/>
        </w:rPr>
        <w:t>.</w:t>
      </w:r>
      <w:r w:rsidR="00F1098A">
        <w:rPr>
          <w:rStyle w:val="FootnoteReference"/>
          <w:rFonts w:eastAsia="Calibri"/>
          <w:lang w:val="es-ES_tradnl"/>
        </w:rPr>
        <w:footnoteReference w:id="4"/>
      </w:r>
      <w:r w:rsidR="00F1098A">
        <w:rPr>
          <w:rFonts w:eastAsia="Calibri"/>
          <w:lang w:val="es-ES_tradnl"/>
        </w:rPr>
        <w:t xml:space="preserve"> </w:t>
      </w:r>
      <w:r w:rsidR="00F642F0">
        <w:rPr>
          <w:rFonts w:eastAsia="Calibri"/>
          <w:lang w:val="es-ES_tradnl"/>
        </w:rPr>
        <w:t>L</w:t>
      </w:r>
      <w:r w:rsidR="00F642F0" w:rsidRPr="00DE4FBC">
        <w:rPr>
          <w:rFonts w:eastAsia="Calibri"/>
          <w:lang w:val="es-ES_tradnl"/>
        </w:rPr>
        <w:t xml:space="preserve">as </w:t>
      </w:r>
      <w:r w:rsidR="00F642F0" w:rsidRPr="008A5DF4">
        <w:rPr>
          <w:rFonts w:eastAsia="Calibri"/>
          <w:lang w:val="es-ES_tradnl"/>
        </w:rPr>
        <w:t xml:space="preserve">explotaciones </w:t>
      </w:r>
      <w:r w:rsidR="00F642F0" w:rsidRPr="00565D99">
        <w:rPr>
          <w:rFonts w:eastAsia="Calibri"/>
          <w:lang w:val="es-ES_tradnl"/>
        </w:rPr>
        <w:t xml:space="preserve">agrícolas </w:t>
      </w:r>
      <w:r w:rsidR="00F642F0">
        <w:rPr>
          <w:rFonts w:eastAsia="Calibri"/>
          <w:lang w:val="es-ES_tradnl"/>
        </w:rPr>
        <w:t>tampoco</w:t>
      </w:r>
      <w:r w:rsidR="00F642F0" w:rsidRPr="00DE4FBC">
        <w:rPr>
          <w:rFonts w:eastAsia="Calibri"/>
          <w:lang w:val="es-ES_tradnl"/>
        </w:rPr>
        <w:t xml:space="preserve"> respetan la obliga</w:t>
      </w:r>
      <w:r w:rsidR="00F642F0">
        <w:rPr>
          <w:rFonts w:eastAsia="Calibri"/>
          <w:lang w:val="es-ES_tradnl"/>
        </w:rPr>
        <w:t>ción</w:t>
      </w:r>
      <w:r w:rsidR="00F642F0" w:rsidRPr="00DE4FBC">
        <w:rPr>
          <w:rFonts w:eastAsia="Calibri"/>
          <w:lang w:val="es-ES_tradnl"/>
        </w:rPr>
        <w:t xml:space="preserve"> </w:t>
      </w:r>
      <w:r w:rsidR="00F642F0">
        <w:rPr>
          <w:rFonts w:eastAsia="Calibri"/>
          <w:lang w:val="es-ES_tradnl"/>
        </w:rPr>
        <w:t>de</w:t>
      </w:r>
      <w:r w:rsidR="00F642F0" w:rsidRPr="00DE4FBC">
        <w:rPr>
          <w:rFonts w:eastAsia="Calibri"/>
          <w:lang w:val="es-ES_tradnl"/>
        </w:rPr>
        <w:t xml:space="preserve"> dejar un margen mínimo de 100 metros alrededor de ríos, arroyos, nacientes y lagos</w:t>
      </w:r>
      <w:r w:rsidR="00F642F0">
        <w:rPr>
          <w:rFonts w:eastAsia="Calibri"/>
          <w:lang w:val="es-ES_tradnl"/>
        </w:rPr>
        <w:t>;</w:t>
      </w:r>
      <w:r w:rsidR="00F642F0">
        <w:rPr>
          <w:rStyle w:val="FootnoteReference"/>
          <w:rFonts w:eastAsia="Calibri"/>
          <w:lang w:val="es-ES_tradnl"/>
        </w:rPr>
        <w:footnoteReference w:id="5"/>
      </w:r>
      <w:r w:rsidR="00F642F0">
        <w:rPr>
          <w:rFonts w:eastAsia="Calibri"/>
          <w:lang w:val="es-ES_tradnl"/>
        </w:rPr>
        <w:t xml:space="preserve"> y lavan sus tanques con agro-</w:t>
      </w:r>
      <w:r w:rsidR="00F642F0" w:rsidRPr="00C56770">
        <w:rPr>
          <w:rFonts w:eastAsia="Calibri"/>
          <w:lang w:val="es-ES_tradnl"/>
        </w:rPr>
        <w:t xml:space="preserve">tóxicos </w:t>
      </w:r>
      <w:r w:rsidR="00F642F0">
        <w:rPr>
          <w:rFonts w:eastAsia="Calibri"/>
          <w:lang w:val="es-ES_tradnl"/>
        </w:rPr>
        <w:t>en</w:t>
      </w:r>
      <w:r w:rsidR="00F642F0" w:rsidRPr="00C56770">
        <w:rPr>
          <w:rFonts w:eastAsia="Calibri"/>
          <w:lang w:val="es-ES_tradnl"/>
        </w:rPr>
        <w:t xml:space="preserve"> los arroyos</w:t>
      </w:r>
      <w:r w:rsidR="00F642F0">
        <w:rPr>
          <w:rFonts w:eastAsia="Calibri"/>
          <w:lang w:val="es-ES_tradnl"/>
        </w:rPr>
        <w:t>.</w:t>
      </w:r>
      <w:r w:rsidR="003F73EF">
        <w:rPr>
          <w:rFonts w:eastAsia="Calibri"/>
          <w:lang w:val="es-ES_tradnl"/>
        </w:rPr>
        <w:t xml:space="preserve"> </w:t>
      </w:r>
    </w:p>
    <w:p w:rsidR="009738ED" w:rsidRPr="009738ED" w:rsidRDefault="00BC1BF8" w:rsidP="001528E3">
      <w:pPr>
        <w:pStyle w:val="SingleTxtG"/>
        <w:rPr>
          <w:rFonts w:eastAsia="Calibri"/>
          <w:lang w:val="es-ES_tradnl"/>
        </w:rPr>
      </w:pPr>
      <w:r>
        <w:rPr>
          <w:rFonts w:eastAsia="Calibri"/>
          <w:lang w:val="es-ES_tradnl"/>
        </w:rPr>
        <w:t>2.</w:t>
      </w:r>
      <w:r w:rsidR="003F73EF">
        <w:rPr>
          <w:rFonts w:eastAsia="Calibri"/>
          <w:lang w:val="es-ES_tradnl"/>
        </w:rPr>
        <w:t>4</w:t>
      </w:r>
      <w:r w:rsidR="00AF1371">
        <w:rPr>
          <w:rFonts w:eastAsia="Calibri"/>
          <w:lang w:val="es-ES_tradnl"/>
        </w:rPr>
        <w:tab/>
      </w:r>
      <w:r w:rsidR="00F642F0">
        <w:rPr>
          <w:rFonts w:eastAsia="Calibri"/>
          <w:lang w:val="es-ES_tradnl"/>
        </w:rPr>
        <w:t>El actuar de las</w:t>
      </w:r>
      <w:r w:rsidR="00B0212D">
        <w:rPr>
          <w:rFonts w:eastAsia="Calibri"/>
          <w:lang w:val="es-ES_tradnl"/>
        </w:rPr>
        <w:t xml:space="preserve"> </w:t>
      </w:r>
      <w:r w:rsidR="00C972D0" w:rsidRPr="00C972D0">
        <w:rPr>
          <w:rFonts w:eastAsia="Calibri"/>
          <w:lang w:val="es-ES_tradnl"/>
        </w:rPr>
        <w:t xml:space="preserve">explotaciones agrícolas </w:t>
      </w:r>
      <w:r w:rsidR="00F642F0">
        <w:rPr>
          <w:rFonts w:eastAsia="Calibri"/>
          <w:lang w:val="es-ES_tradnl"/>
        </w:rPr>
        <w:t>se ha justificado por el incumplimiento d</w:t>
      </w:r>
      <w:r w:rsidR="00B0212D">
        <w:rPr>
          <w:rFonts w:eastAsia="Calibri"/>
          <w:lang w:val="es-ES_tradnl"/>
        </w:rPr>
        <w:t xml:space="preserve">el Estado parte </w:t>
      </w:r>
      <w:r w:rsidR="00F642F0">
        <w:rPr>
          <w:rFonts w:eastAsia="Calibri"/>
          <w:lang w:val="es-ES_tradnl"/>
        </w:rPr>
        <w:t>de</w:t>
      </w:r>
      <w:r w:rsidR="004E7426">
        <w:rPr>
          <w:rFonts w:eastAsia="Calibri"/>
          <w:lang w:val="es-ES_tradnl"/>
        </w:rPr>
        <w:t xml:space="preserve"> sus obligaciones de</w:t>
      </w:r>
      <w:r w:rsidR="00B0212D">
        <w:rPr>
          <w:rFonts w:eastAsia="Calibri"/>
          <w:lang w:val="es-ES_tradnl"/>
        </w:rPr>
        <w:t xml:space="preserve"> </w:t>
      </w:r>
      <w:r w:rsidR="004E7426">
        <w:rPr>
          <w:rFonts w:eastAsia="Calibri"/>
          <w:lang w:val="es-ES_tradnl"/>
        </w:rPr>
        <w:t xml:space="preserve">autorización y </w:t>
      </w:r>
      <w:r w:rsidR="00B0212D">
        <w:rPr>
          <w:rFonts w:eastAsia="Calibri"/>
          <w:lang w:val="es-ES_tradnl"/>
        </w:rPr>
        <w:t xml:space="preserve">control de </w:t>
      </w:r>
      <w:r w:rsidR="00BB4FA3">
        <w:rPr>
          <w:rFonts w:eastAsia="Calibri"/>
          <w:lang w:val="es-ES_tradnl"/>
        </w:rPr>
        <w:t>estas</w:t>
      </w:r>
      <w:r w:rsidR="00241834">
        <w:rPr>
          <w:rFonts w:eastAsia="Calibri"/>
          <w:lang w:val="es-ES_tradnl"/>
        </w:rPr>
        <w:t xml:space="preserve"> actividades</w:t>
      </w:r>
      <w:r w:rsidR="00756986">
        <w:rPr>
          <w:rFonts w:eastAsia="Calibri"/>
          <w:lang w:val="es-ES_tradnl"/>
        </w:rPr>
        <w:t xml:space="preserve">. </w:t>
      </w:r>
      <w:r w:rsidR="00F642F0">
        <w:rPr>
          <w:rFonts w:eastAsia="Calibri"/>
          <w:lang w:val="es-ES_tradnl"/>
        </w:rPr>
        <w:t>En este sentido,</w:t>
      </w:r>
      <w:r w:rsidR="00756986">
        <w:rPr>
          <w:rFonts w:eastAsia="Calibri"/>
          <w:lang w:val="es-ES_tradnl"/>
        </w:rPr>
        <w:t xml:space="preserve"> </w:t>
      </w:r>
      <w:r w:rsidR="00DB473C">
        <w:rPr>
          <w:rFonts w:eastAsia="Calibri"/>
          <w:lang w:val="es-ES_tradnl"/>
        </w:rPr>
        <w:t>l</w:t>
      </w:r>
      <w:r w:rsidR="00F95D5D" w:rsidRPr="00594131">
        <w:rPr>
          <w:rFonts w:eastAsia="Calibri"/>
          <w:lang w:val="es-ES_tradnl"/>
        </w:rPr>
        <w:t>a</w:t>
      </w:r>
      <w:r w:rsidR="00F95D5D">
        <w:rPr>
          <w:rFonts w:eastAsia="Calibri"/>
          <w:lang w:val="es-ES_tradnl"/>
        </w:rPr>
        <w:t xml:space="preserve"> </w:t>
      </w:r>
      <w:r w:rsidR="00F95D5D" w:rsidRPr="00F95D5D">
        <w:rPr>
          <w:rFonts w:eastAsia="Calibri"/>
          <w:lang w:val="es-ES_tradnl"/>
        </w:rPr>
        <w:t xml:space="preserve">Secretaría del Ambiente </w:t>
      </w:r>
      <w:r w:rsidR="00F95D5D">
        <w:rPr>
          <w:rFonts w:eastAsia="Calibri"/>
          <w:lang w:val="es-ES_tradnl"/>
        </w:rPr>
        <w:t>(</w:t>
      </w:r>
      <w:r w:rsidR="00F95D5D" w:rsidRPr="00594131">
        <w:rPr>
          <w:rFonts w:eastAsia="Calibri"/>
          <w:lang w:val="es-ES_tradnl"/>
        </w:rPr>
        <w:t>SEAM</w:t>
      </w:r>
      <w:r w:rsidR="00F95D5D">
        <w:rPr>
          <w:rFonts w:eastAsia="Calibri"/>
          <w:lang w:val="es-ES_tradnl"/>
        </w:rPr>
        <w:t>), al ser la entidad r</w:t>
      </w:r>
      <w:r w:rsidR="00F95D5D" w:rsidRPr="00B91A08">
        <w:rPr>
          <w:rFonts w:eastAsia="Calibri"/>
          <w:lang w:val="es-ES_tradnl"/>
        </w:rPr>
        <w:t xml:space="preserve">esponsable de la formulación, coordinación y ejecución de </w:t>
      </w:r>
      <w:r w:rsidR="00F95D5D">
        <w:rPr>
          <w:rFonts w:eastAsia="Calibri"/>
          <w:lang w:val="es-ES_tradnl"/>
        </w:rPr>
        <w:t xml:space="preserve">las </w:t>
      </w:r>
      <w:r w:rsidR="00F95D5D" w:rsidRPr="00B91A08">
        <w:rPr>
          <w:rFonts w:eastAsia="Calibri"/>
          <w:lang w:val="es-ES_tradnl"/>
        </w:rPr>
        <w:t xml:space="preserve">políticas ambientales, </w:t>
      </w:r>
      <w:r w:rsidR="00F95D5D">
        <w:rPr>
          <w:rFonts w:eastAsia="Calibri"/>
          <w:lang w:val="es-ES_tradnl"/>
        </w:rPr>
        <w:t xml:space="preserve">es </w:t>
      </w:r>
      <w:r w:rsidR="00F95D5D" w:rsidRPr="00B91A08">
        <w:rPr>
          <w:rFonts w:eastAsia="Calibri"/>
          <w:lang w:val="es-ES_tradnl"/>
        </w:rPr>
        <w:t xml:space="preserve">responsable del otorgamiento de las licencias ambientales y </w:t>
      </w:r>
      <w:r w:rsidR="00F95D5D">
        <w:rPr>
          <w:rFonts w:eastAsia="Calibri"/>
          <w:lang w:val="es-ES_tradnl"/>
        </w:rPr>
        <w:t xml:space="preserve">de </w:t>
      </w:r>
      <w:r w:rsidR="00F95D5D" w:rsidRPr="00B91A08">
        <w:rPr>
          <w:rFonts w:eastAsia="Calibri"/>
          <w:lang w:val="es-ES_tradnl"/>
        </w:rPr>
        <w:t>contr</w:t>
      </w:r>
      <w:r w:rsidR="00BB4FA3">
        <w:rPr>
          <w:rFonts w:eastAsia="Calibri"/>
          <w:lang w:val="es-ES_tradnl"/>
        </w:rPr>
        <w:t>o</w:t>
      </w:r>
      <w:r w:rsidR="00F95D5D" w:rsidRPr="00B91A08">
        <w:rPr>
          <w:rFonts w:eastAsia="Calibri"/>
          <w:lang w:val="es-ES_tradnl"/>
        </w:rPr>
        <w:t xml:space="preserve">lar que las explotaciones </w:t>
      </w:r>
      <w:r w:rsidR="00F95D5D">
        <w:rPr>
          <w:rFonts w:eastAsia="Calibri"/>
          <w:lang w:val="es-ES_tradnl"/>
        </w:rPr>
        <w:t xml:space="preserve">agrícolas </w:t>
      </w:r>
      <w:r w:rsidR="00F95D5D" w:rsidRPr="00B91A08">
        <w:rPr>
          <w:rFonts w:eastAsia="Calibri"/>
          <w:lang w:val="es-ES_tradnl"/>
        </w:rPr>
        <w:t>cuenten con ellas y que cumplan planes de gestión</w:t>
      </w:r>
      <w:r w:rsidR="00F95D5D">
        <w:rPr>
          <w:rFonts w:eastAsia="Calibri"/>
          <w:lang w:val="es-ES_tradnl"/>
        </w:rPr>
        <w:t>.</w:t>
      </w:r>
      <w:r w:rsidR="00DB473C">
        <w:rPr>
          <w:rStyle w:val="FootnoteReference"/>
          <w:rFonts w:eastAsia="Calibri"/>
          <w:lang w:val="es-ES_tradnl"/>
        </w:rPr>
        <w:footnoteReference w:id="6"/>
      </w:r>
      <w:r w:rsidR="00F95D5D">
        <w:rPr>
          <w:rFonts w:eastAsia="Calibri"/>
          <w:lang w:val="es-ES_tradnl"/>
        </w:rPr>
        <w:t xml:space="preserve"> </w:t>
      </w:r>
      <w:r w:rsidR="00A57C62">
        <w:rPr>
          <w:rFonts w:eastAsia="Calibri"/>
          <w:lang w:val="es-ES_tradnl"/>
        </w:rPr>
        <w:t>Asimismo, e</w:t>
      </w:r>
      <w:r w:rsidR="00594131" w:rsidRPr="00594131">
        <w:rPr>
          <w:rFonts w:eastAsia="Calibri"/>
          <w:lang w:val="es-ES_tradnl"/>
        </w:rPr>
        <w:t xml:space="preserve">l </w:t>
      </w:r>
      <w:r w:rsidR="00F95D5D" w:rsidRPr="00F95D5D">
        <w:rPr>
          <w:rFonts w:eastAsia="Calibri"/>
          <w:lang w:val="es-ES_tradnl"/>
        </w:rPr>
        <w:t xml:space="preserve">Servicio Nacional de Calidad y Sanidad Vegetal y de Semillas </w:t>
      </w:r>
      <w:r w:rsidR="00F95D5D">
        <w:rPr>
          <w:rFonts w:eastAsia="Calibri"/>
          <w:lang w:val="es-ES_tradnl"/>
        </w:rPr>
        <w:t>(</w:t>
      </w:r>
      <w:r w:rsidR="00594131" w:rsidRPr="00594131">
        <w:rPr>
          <w:rFonts w:eastAsia="Calibri"/>
          <w:lang w:val="es-ES_tradnl"/>
        </w:rPr>
        <w:t>SENAVE</w:t>
      </w:r>
      <w:r w:rsidR="00F95D5D">
        <w:rPr>
          <w:rFonts w:eastAsia="Calibri"/>
          <w:lang w:val="es-ES_tradnl"/>
        </w:rPr>
        <w:t>)</w:t>
      </w:r>
      <w:r w:rsidR="00756091">
        <w:rPr>
          <w:rFonts w:eastAsia="Calibri"/>
          <w:lang w:val="es-ES_tradnl"/>
        </w:rPr>
        <w:t xml:space="preserve"> es </w:t>
      </w:r>
      <w:r w:rsidR="00F95D5D">
        <w:rPr>
          <w:rFonts w:eastAsia="Calibri"/>
          <w:lang w:val="es-ES_tradnl"/>
        </w:rPr>
        <w:t xml:space="preserve">la entidad </w:t>
      </w:r>
      <w:r w:rsidR="00756091">
        <w:rPr>
          <w:rFonts w:eastAsia="Calibri"/>
          <w:lang w:val="es-ES_tradnl"/>
        </w:rPr>
        <w:t>responsable del r</w:t>
      </w:r>
      <w:r w:rsidR="00756091" w:rsidRPr="00756091">
        <w:rPr>
          <w:rFonts w:eastAsia="Calibri"/>
          <w:lang w:val="es-ES_tradnl"/>
        </w:rPr>
        <w:t xml:space="preserve">egistro y control </w:t>
      </w:r>
      <w:r w:rsidR="005232D5">
        <w:rPr>
          <w:rFonts w:eastAsia="Calibri"/>
          <w:lang w:val="es-ES_tradnl"/>
        </w:rPr>
        <w:t>del</w:t>
      </w:r>
      <w:r w:rsidR="00756091" w:rsidRPr="00756091">
        <w:rPr>
          <w:rFonts w:eastAsia="Calibri"/>
          <w:lang w:val="es-ES_tradnl"/>
        </w:rPr>
        <w:t xml:space="preserve"> comercio de agroquímicos, </w:t>
      </w:r>
      <w:r w:rsidR="005232D5">
        <w:rPr>
          <w:rFonts w:eastAsia="Calibri"/>
          <w:lang w:val="es-ES_tradnl"/>
        </w:rPr>
        <w:t>y</w:t>
      </w:r>
      <w:r w:rsidR="00756091" w:rsidRPr="00756091">
        <w:rPr>
          <w:rFonts w:eastAsia="Calibri"/>
          <w:lang w:val="es-ES_tradnl"/>
        </w:rPr>
        <w:t xml:space="preserve"> de controlar que las explotaciones </w:t>
      </w:r>
      <w:r w:rsidR="001528E3">
        <w:rPr>
          <w:rFonts w:eastAsia="Calibri"/>
          <w:lang w:val="es-ES_tradnl"/>
        </w:rPr>
        <w:t xml:space="preserve">tengan productos </w:t>
      </w:r>
      <w:r w:rsidR="001528E3" w:rsidRPr="001528E3">
        <w:rPr>
          <w:rFonts w:eastAsia="Calibri"/>
          <w:lang w:val="es-ES_tradnl"/>
        </w:rPr>
        <w:t>prescriptos por un asesor técnico registrado ante el SENAVE</w:t>
      </w:r>
      <w:r w:rsidR="001528E3">
        <w:rPr>
          <w:rFonts w:eastAsia="Calibri"/>
          <w:lang w:val="es-ES_tradnl"/>
        </w:rPr>
        <w:t>,</w:t>
      </w:r>
      <w:r w:rsidR="00A57C62">
        <w:rPr>
          <w:rFonts w:eastAsia="Calibri"/>
          <w:lang w:val="es-ES_tradnl"/>
        </w:rPr>
        <w:t xml:space="preserve"> </w:t>
      </w:r>
      <w:r w:rsidR="00756091" w:rsidRPr="00756091">
        <w:rPr>
          <w:rFonts w:eastAsia="Calibri"/>
          <w:lang w:val="es-ES_tradnl"/>
        </w:rPr>
        <w:t>cuenten con las barreras ambien</w:t>
      </w:r>
      <w:r w:rsidR="001528E3">
        <w:rPr>
          <w:rFonts w:eastAsia="Calibri"/>
          <w:lang w:val="es-ES_tradnl"/>
        </w:rPr>
        <w:t>tales</w:t>
      </w:r>
      <w:r w:rsidR="00A73478">
        <w:rPr>
          <w:rFonts w:eastAsia="Calibri"/>
          <w:lang w:val="es-ES_tradnl"/>
        </w:rPr>
        <w:t>,</w:t>
      </w:r>
      <w:r w:rsidR="001528E3">
        <w:rPr>
          <w:rFonts w:eastAsia="Calibri"/>
          <w:lang w:val="es-ES_tradnl"/>
        </w:rPr>
        <w:t xml:space="preserve"> y</w:t>
      </w:r>
      <w:r w:rsidR="00756091" w:rsidRPr="00756091">
        <w:rPr>
          <w:rFonts w:eastAsia="Calibri"/>
          <w:lang w:val="es-ES_tradnl"/>
        </w:rPr>
        <w:t xml:space="preserve"> respeten las franjas de seguridad</w:t>
      </w:r>
      <w:r w:rsidR="00A73478">
        <w:rPr>
          <w:rFonts w:eastAsia="Calibri"/>
          <w:lang w:val="es-ES_tradnl"/>
        </w:rPr>
        <w:t>;</w:t>
      </w:r>
      <w:r w:rsidR="001528E3">
        <w:rPr>
          <w:rFonts w:eastAsia="Calibri"/>
          <w:lang w:val="es-ES_tradnl"/>
        </w:rPr>
        <w:t xml:space="preserve"> es </w:t>
      </w:r>
      <w:r w:rsidR="00B13D48">
        <w:rPr>
          <w:rFonts w:eastAsia="Calibri"/>
          <w:lang w:val="es-ES_tradnl"/>
        </w:rPr>
        <w:t xml:space="preserve">también la institución </w:t>
      </w:r>
      <w:r w:rsidR="001A4280">
        <w:rPr>
          <w:rFonts w:eastAsia="Calibri"/>
          <w:lang w:val="es-ES_tradnl"/>
        </w:rPr>
        <w:t xml:space="preserve">que debe </w:t>
      </w:r>
      <w:r w:rsidR="00756091" w:rsidRPr="00756091">
        <w:rPr>
          <w:rFonts w:eastAsia="Calibri"/>
          <w:lang w:val="es-ES_tradnl"/>
        </w:rPr>
        <w:t>control</w:t>
      </w:r>
      <w:r w:rsidR="001A4280">
        <w:rPr>
          <w:rFonts w:eastAsia="Calibri"/>
          <w:lang w:val="es-ES_tradnl"/>
        </w:rPr>
        <w:t xml:space="preserve">ar </w:t>
      </w:r>
      <w:r w:rsidR="00756091" w:rsidRPr="00756091">
        <w:rPr>
          <w:rFonts w:eastAsia="Calibri"/>
          <w:lang w:val="es-ES_tradnl"/>
        </w:rPr>
        <w:t>el modo en que se realizan las fumigaciones aéreas</w:t>
      </w:r>
      <w:r w:rsidR="004E0903">
        <w:rPr>
          <w:rFonts w:eastAsia="Calibri"/>
          <w:lang w:val="es-ES_tradnl"/>
        </w:rPr>
        <w:t>.</w:t>
      </w:r>
      <w:r w:rsidR="001528E3">
        <w:rPr>
          <w:rStyle w:val="FootnoteReference"/>
          <w:rFonts w:eastAsia="Calibri"/>
          <w:lang w:val="es-ES_tradnl"/>
        </w:rPr>
        <w:footnoteReference w:id="7"/>
      </w:r>
      <w:r w:rsidR="004E0903">
        <w:rPr>
          <w:rFonts w:eastAsia="Calibri"/>
          <w:lang w:val="es-ES_tradnl"/>
        </w:rPr>
        <w:t xml:space="preserve"> </w:t>
      </w:r>
      <w:r w:rsidR="00551884">
        <w:rPr>
          <w:rFonts w:eastAsia="Calibri"/>
          <w:lang w:val="es-ES_tradnl"/>
        </w:rPr>
        <w:t>Además, e</w:t>
      </w:r>
      <w:r w:rsidR="00F95D5D" w:rsidRPr="00594131">
        <w:rPr>
          <w:rFonts w:eastAsia="Calibri"/>
          <w:lang w:val="es-ES_tradnl"/>
        </w:rPr>
        <w:t>l Ministerio de Agricultura y Ganadería (MAG)</w:t>
      </w:r>
      <w:r w:rsidR="00F95D5D" w:rsidRPr="00F71E55">
        <w:rPr>
          <w:lang w:val="es-ES"/>
        </w:rPr>
        <w:t xml:space="preserve"> </w:t>
      </w:r>
      <w:r w:rsidR="00F95D5D">
        <w:rPr>
          <w:rFonts w:eastAsia="Calibri"/>
          <w:lang w:val="es-ES_tradnl"/>
        </w:rPr>
        <w:t>es la i</w:t>
      </w:r>
      <w:r w:rsidR="00F95D5D" w:rsidRPr="00F71E55">
        <w:rPr>
          <w:rFonts w:eastAsia="Calibri"/>
          <w:lang w:val="es-ES_tradnl"/>
        </w:rPr>
        <w:t xml:space="preserve">nstitución responsable de la política agraria </w:t>
      </w:r>
      <w:r w:rsidR="00281EF4">
        <w:rPr>
          <w:rFonts w:eastAsia="Calibri"/>
          <w:lang w:val="es-ES_tradnl"/>
        </w:rPr>
        <w:t xml:space="preserve">y </w:t>
      </w:r>
      <w:r w:rsidR="00F95D5D">
        <w:rPr>
          <w:rFonts w:eastAsia="Calibri"/>
          <w:lang w:val="es-ES_tradnl"/>
        </w:rPr>
        <w:t>de v</w:t>
      </w:r>
      <w:r w:rsidR="00F95D5D" w:rsidRPr="00F71E55">
        <w:rPr>
          <w:rFonts w:eastAsia="Calibri"/>
          <w:lang w:val="es-ES_tradnl"/>
        </w:rPr>
        <w:t>elar por la preservación de los recursos naturales y el medio ambiente</w:t>
      </w:r>
      <w:r w:rsidR="00F95D5D">
        <w:rPr>
          <w:rFonts w:eastAsia="Calibri"/>
          <w:lang w:val="es-ES_tradnl"/>
        </w:rPr>
        <w:t xml:space="preserve">. </w:t>
      </w:r>
      <w:r w:rsidR="003B3869">
        <w:rPr>
          <w:rFonts w:eastAsia="Calibri"/>
          <w:lang w:val="es-ES_tradnl"/>
        </w:rPr>
        <w:t>Finalmente,</w:t>
      </w:r>
      <w:r w:rsidR="00594131" w:rsidRPr="00594131">
        <w:rPr>
          <w:rFonts w:eastAsia="Calibri"/>
          <w:lang w:val="es-ES_tradnl"/>
        </w:rPr>
        <w:t xml:space="preserve"> el INDERT</w:t>
      </w:r>
      <w:r w:rsidR="00B24AD6" w:rsidRPr="00B24AD6">
        <w:rPr>
          <w:lang w:val="es-ES"/>
        </w:rPr>
        <w:t xml:space="preserve"> </w:t>
      </w:r>
      <w:r w:rsidR="00B24AD6">
        <w:rPr>
          <w:rFonts w:eastAsia="Calibri"/>
          <w:lang w:val="es-ES_tradnl"/>
        </w:rPr>
        <w:t>es la entidad r</w:t>
      </w:r>
      <w:r w:rsidR="00B24AD6" w:rsidRPr="00B24AD6">
        <w:rPr>
          <w:rFonts w:eastAsia="Calibri"/>
          <w:lang w:val="es-ES_tradnl"/>
        </w:rPr>
        <w:t xml:space="preserve">esponsable de las </w:t>
      </w:r>
      <w:r w:rsidR="00620D35">
        <w:rPr>
          <w:rFonts w:eastAsia="Calibri"/>
          <w:lang w:val="es-ES_tradnl"/>
        </w:rPr>
        <w:t>políticas</w:t>
      </w:r>
      <w:r w:rsidR="00B24AD6" w:rsidRPr="00B24AD6">
        <w:rPr>
          <w:rFonts w:eastAsia="Calibri"/>
          <w:lang w:val="es-ES_tradnl"/>
        </w:rPr>
        <w:t xml:space="preserve"> </w:t>
      </w:r>
      <w:r w:rsidR="001A0A15">
        <w:rPr>
          <w:rFonts w:eastAsia="Calibri"/>
          <w:lang w:val="es-ES_tradnl"/>
        </w:rPr>
        <w:t>de bienestar rural y de arraigo</w:t>
      </w:r>
      <w:r w:rsidR="000D2556">
        <w:rPr>
          <w:rFonts w:eastAsia="Calibri"/>
          <w:lang w:val="es-ES_tradnl"/>
        </w:rPr>
        <w:t>, y de controlar que no se lleven a cabo actividades ilegales dentro de la Colonia</w:t>
      </w:r>
      <w:r w:rsidR="006F289E">
        <w:rPr>
          <w:rFonts w:eastAsia="Calibri"/>
          <w:lang w:val="es-ES_tradnl"/>
        </w:rPr>
        <w:t>, como la venta de lotes para el cultivo de soja a</w:t>
      </w:r>
      <w:r w:rsidR="006F289E" w:rsidRPr="006F289E">
        <w:rPr>
          <w:lang w:val="es-ES"/>
        </w:rPr>
        <w:t xml:space="preserve"> </w:t>
      </w:r>
      <w:r w:rsidR="006F289E">
        <w:rPr>
          <w:rFonts w:eastAsia="Calibri"/>
          <w:lang w:val="es-ES_tradnl"/>
        </w:rPr>
        <w:t>personas que no sean beneficiaria</w:t>
      </w:r>
      <w:r w:rsidR="006F289E" w:rsidRPr="006F289E">
        <w:rPr>
          <w:rFonts w:eastAsia="Calibri"/>
          <w:lang w:val="es-ES_tradnl"/>
        </w:rPr>
        <w:t>s de la reforma agraria</w:t>
      </w:r>
      <w:r w:rsidR="00594131">
        <w:rPr>
          <w:rFonts w:eastAsia="Calibri"/>
          <w:lang w:val="es-ES_tradnl"/>
        </w:rPr>
        <w:t>.</w:t>
      </w:r>
    </w:p>
    <w:p w:rsidR="00935F40" w:rsidRDefault="00DE7918" w:rsidP="00DE7918">
      <w:pPr>
        <w:pStyle w:val="H4G"/>
        <w:rPr>
          <w:rFonts w:eastAsia="Calibri"/>
          <w:lang w:val="es-ES_tradnl"/>
        </w:rPr>
      </w:pPr>
      <w:r>
        <w:rPr>
          <w:rFonts w:eastAsia="Calibri"/>
          <w:lang w:val="es-ES_tradnl"/>
        </w:rPr>
        <w:tab/>
      </w:r>
      <w:r>
        <w:rPr>
          <w:rFonts w:eastAsia="Calibri"/>
          <w:lang w:val="es-ES_tradnl"/>
        </w:rPr>
        <w:tab/>
      </w:r>
      <w:r w:rsidR="00A64F64">
        <w:rPr>
          <w:rFonts w:eastAsia="Calibri"/>
          <w:lang w:val="es-ES_tradnl"/>
        </w:rPr>
        <w:t>Contaminación de la Colonia, resultando en el f</w:t>
      </w:r>
      <w:r w:rsidR="007F1512">
        <w:rPr>
          <w:rFonts w:eastAsia="Calibri"/>
          <w:lang w:val="es-ES_tradnl"/>
        </w:rPr>
        <w:t xml:space="preserve">allecimiento del Sr. Portillo Cáceres e </w:t>
      </w:r>
      <w:r w:rsidR="00A64F64">
        <w:rPr>
          <w:rFonts w:eastAsia="Calibri"/>
          <w:lang w:val="es-ES_tradnl"/>
        </w:rPr>
        <w:t xml:space="preserve">intoxicación </w:t>
      </w:r>
      <w:r w:rsidR="00935F40">
        <w:rPr>
          <w:rFonts w:eastAsia="Calibri"/>
          <w:lang w:val="es-ES_tradnl"/>
        </w:rPr>
        <w:t>de los autores</w:t>
      </w:r>
    </w:p>
    <w:p w:rsidR="00B71D26" w:rsidRDefault="000E372B" w:rsidP="00C56770">
      <w:pPr>
        <w:pStyle w:val="SingleTxtG"/>
        <w:rPr>
          <w:rFonts w:eastAsia="Calibri"/>
          <w:lang w:val="es-ES_tradnl"/>
        </w:rPr>
      </w:pPr>
      <w:r>
        <w:rPr>
          <w:rFonts w:eastAsia="Calibri"/>
          <w:lang w:val="es-ES_tradnl"/>
        </w:rPr>
        <w:t>2.</w:t>
      </w:r>
      <w:r w:rsidR="003F73EF">
        <w:rPr>
          <w:rFonts w:eastAsia="Calibri"/>
          <w:lang w:val="es-ES_tradnl"/>
        </w:rPr>
        <w:t>5</w:t>
      </w:r>
      <w:r w:rsidR="00FF5728">
        <w:rPr>
          <w:rFonts w:eastAsia="Calibri"/>
          <w:lang w:val="es-ES_tradnl"/>
        </w:rPr>
        <w:tab/>
      </w:r>
      <w:r w:rsidR="00F642F0">
        <w:rPr>
          <w:rFonts w:eastAsia="Calibri"/>
          <w:lang w:val="es-ES_tradnl"/>
        </w:rPr>
        <w:t>El</w:t>
      </w:r>
      <w:r w:rsidR="009818C9" w:rsidRPr="00B868A2">
        <w:rPr>
          <w:rFonts w:eastAsia="Calibri"/>
          <w:lang w:val="es-ES_tradnl"/>
        </w:rPr>
        <w:t xml:space="preserve"> lanzamiento masivo de </w:t>
      </w:r>
      <w:r w:rsidR="009818C9" w:rsidRPr="009818C9">
        <w:rPr>
          <w:rFonts w:eastAsia="Calibri"/>
          <w:lang w:val="es-ES_tradnl"/>
        </w:rPr>
        <w:t xml:space="preserve">agro-tóxicos </w:t>
      </w:r>
      <w:r w:rsidR="00B404CE">
        <w:rPr>
          <w:rFonts w:eastAsia="Calibri"/>
          <w:lang w:val="es-ES_tradnl"/>
        </w:rPr>
        <w:t>genera</w:t>
      </w:r>
      <w:r w:rsidR="009818C9" w:rsidRPr="00B868A2">
        <w:rPr>
          <w:rFonts w:eastAsia="Calibri"/>
          <w:lang w:val="es-ES_tradnl"/>
        </w:rPr>
        <w:t xml:space="preserve"> graves im</w:t>
      </w:r>
      <w:r w:rsidR="009818C9">
        <w:rPr>
          <w:rFonts w:eastAsia="Calibri"/>
          <w:lang w:val="es-ES_tradnl"/>
        </w:rPr>
        <w:t xml:space="preserve">pactos en </w:t>
      </w:r>
      <w:r w:rsidR="00787FB1">
        <w:rPr>
          <w:rFonts w:eastAsia="Calibri"/>
          <w:lang w:val="es-ES_tradnl"/>
        </w:rPr>
        <w:t xml:space="preserve">las </w:t>
      </w:r>
      <w:r w:rsidR="009818C9">
        <w:rPr>
          <w:rFonts w:eastAsia="Calibri"/>
          <w:lang w:val="es-ES_tradnl"/>
        </w:rPr>
        <w:t xml:space="preserve">condiciones de vida, </w:t>
      </w:r>
      <w:r w:rsidR="00AF49EC">
        <w:rPr>
          <w:rFonts w:eastAsia="Calibri"/>
          <w:lang w:val="es-ES_tradnl"/>
        </w:rPr>
        <w:t>economías domésticas y</w:t>
      </w:r>
      <w:r w:rsidR="00AF49EC" w:rsidRPr="00AF49EC">
        <w:rPr>
          <w:rFonts w:eastAsia="Calibri"/>
          <w:lang w:val="es-ES_tradnl"/>
        </w:rPr>
        <w:t xml:space="preserve"> </w:t>
      </w:r>
      <w:r w:rsidR="00AF49EC">
        <w:rPr>
          <w:rFonts w:eastAsia="Calibri"/>
          <w:lang w:val="es-ES_tradnl"/>
        </w:rPr>
        <w:t>salud</w:t>
      </w:r>
      <w:r w:rsidR="00787FB1">
        <w:rPr>
          <w:rFonts w:eastAsia="Calibri"/>
          <w:lang w:val="es-ES_tradnl"/>
        </w:rPr>
        <w:t xml:space="preserve"> de los autores</w:t>
      </w:r>
      <w:r w:rsidR="00CF6A07">
        <w:rPr>
          <w:rFonts w:eastAsia="Calibri"/>
          <w:lang w:val="es-ES_tradnl"/>
        </w:rPr>
        <w:t>.</w:t>
      </w:r>
      <w:r w:rsidR="00F642F0">
        <w:rPr>
          <w:rFonts w:eastAsia="Calibri"/>
          <w:lang w:val="es-ES_tradnl"/>
        </w:rPr>
        <w:t xml:space="preserve"> </w:t>
      </w:r>
      <w:r w:rsidR="00CF6A07">
        <w:rPr>
          <w:rFonts w:eastAsia="Calibri"/>
          <w:lang w:val="es-ES_tradnl"/>
        </w:rPr>
        <w:t>E</w:t>
      </w:r>
      <w:r w:rsidR="00E62120">
        <w:rPr>
          <w:rFonts w:eastAsia="Calibri"/>
          <w:lang w:val="es-ES_tradnl"/>
        </w:rPr>
        <w:t xml:space="preserve">n particular, </w:t>
      </w:r>
      <w:r w:rsidR="00A8622E" w:rsidRPr="00AA30B3">
        <w:rPr>
          <w:rFonts w:eastAsia="Calibri"/>
          <w:lang w:val="es-ES_tradnl"/>
        </w:rPr>
        <w:t>la contaminación de lo</w:t>
      </w:r>
      <w:r w:rsidR="00A8622E">
        <w:rPr>
          <w:rFonts w:eastAsia="Calibri"/>
          <w:lang w:val="es-ES_tradnl"/>
        </w:rPr>
        <w:t xml:space="preserve">s recursos hídricos y acuíferos </w:t>
      </w:r>
      <w:r w:rsidR="00E62120">
        <w:rPr>
          <w:rFonts w:eastAsia="Calibri"/>
          <w:lang w:val="es-ES_tradnl"/>
        </w:rPr>
        <w:t xml:space="preserve">resulta en la imposibilidad de </w:t>
      </w:r>
      <w:r w:rsidR="00E00653">
        <w:rPr>
          <w:rFonts w:eastAsia="Calibri"/>
          <w:lang w:val="es-ES_tradnl"/>
        </w:rPr>
        <w:t>utilizar</w:t>
      </w:r>
      <w:r w:rsidR="00A8622E">
        <w:rPr>
          <w:rFonts w:eastAsia="Calibri"/>
          <w:lang w:val="es-ES_tradnl"/>
        </w:rPr>
        <w:t xml:space="preserve"> los arroyos </w:t>
      </w:r>
      <w:proofErr w:type="spellStart"/>
      <w:r w:rsidR="00A8622E">
        <w:rPr>
          <w:rFonts w:eastAsia="Calibri"/>
          <w:lang w:val="es-ES_tradnl"/>
        </w:rPr>
        <w:t>Yerut</w:t>
      </w:r>
      <w:r w:rsidR="002359C1">
        <w:rPr>
          <w:rFonts w:eastAsia="Calibri"/>
          <w:lang w:val="es-ES_tradnl"/>
        </w:rPr>
        <w:t>í</w:t>
      </w:r>
      <w:proofErr w:type="spellEnd"/>
      <w:r w:rsidR="00A8622E">
        <w:rPr>
          <w:rFonts w:eastAsia="Calibri"/>
          <w:lang w:val="es-ES_tradnl"/>
        </w:rPr>
        <w:t xml:space="preserve"> y </w:t>
      </w:r>
      <w:proofErr w:type="spellStart"/>
      <w:r w:rsidR="00A8622E">
        <w:rPr>
          <w:rFonts w:eastAsia="Calibri"/>
          <w:lang w:val="es-ES_tradnl"/>
        </w:rPr>
        <w:t>Kuairû</w:t>
      </w:r>
      <w:proofErr w:type="spellEnd"/>
      <w:r w:rsidR="00A8622E" w:rsidRPr="00AA30B3">
        <w:rPr>
          <w:rFonts w:eastAsia="Calibri"/>
          <w:lang w:val="es-ES_tradnl"/>
        </w:rPr>
        <w:t xml:space="preserve"> </w:t>
      </w:r>
      <w:r w:rsidR="009026E5">
        <w:rPr>
          <w:rFonts w:eastAsia="Calibri"/>
          <w:lang w:val="es-ES_tradnl"/>
        </w:rPr>
        <w:t>en los que han</w:t>
      </w:r>
      <w:r w:rsidR="006014A2">
        <w:rPr>
          <w:rFonts w:eastAsia="Calibri"/>
          <w:lang w:val="es-ES_tradnl"/>
        </w:rPr>
        <w:t xml:space="preserve"> aparecido</w:t>
      </w:r>
      <w:r w:rsidR="00E00653">
        <w:rPr>
          <w:rFonts w:eastAsia="Calibri"/>
          <w:lang w:val="es-ES_tradnl"/>
        </w:rPr>
        <w:t xml:space="preserve"> peces muertos</w:t>
      </w:r>
      <w:r w:rsidR="00F642F0">
        <w:rPr>
          <w:rFonts w:eastAsia="Calibri"/>
          <w:lang w:val="es-ES_tradnl"/>
        </w:rPr>
        <w:t xml:space="preserve">, </w:t>
      </w:r>
      <w:r w:rsidR="00CF6A07">
        <w:rPr>
          <w:rFonts w:eastAsia="Calibri"/>
          <w:lang w:val="es-ES_tradnl"/>
        </w:rPr>
        <w:t>en</w:t>
      </w:r>
      <w:r w:rsidR="00E00653">
        <w:rPr>
          <w:rFonts w:eastAsia="Calibri"/>
          <w:lang w:val="es-ES_tradnl"/>
        </w:rPr>
        <w:t xml:space="preserve"> </w:t>
      </w:r>
      <w:r w:rsidR="00B71D26" w:rsidRPr="00AA30B3">
        <w:rPr>
          <w:rFonts w:eastAsia="Calibri"/>
          <w:lang w:val="es-ES_tradnl"/>
        </w:rPr>
        <w:t xml:space="preserve">la pérdida de árboles frutales, </w:t>
      </w:r>
      <w:r w:rsidR="00B71D26" w:rsidRPr="00AA30B3">
        <w:rPr>
          <w:rFonts w:eastAsia="Calibri"/>
          <w:lang w:val="es-ES_tradnl"/>
        </w:rPr>
        <w:lastRenderedPageBreak/>
        <w:t xml:space="preserve">la muerte de diversos animales de cría, </w:t>
      </w:r>
      <w:r w:rsidR="0034580E">
        <w:rPr>
          <w:rFonts w:eastAsia="Calibri"/>
          <w:lang w:val="es-ES_tradnl"/>
        </w:rPr>
        <w:t xml:space="preserve">y </w:t>
      </w:r>
      <w:r w:rsidR="00E00653">
        <w:rPr>
          <w:rFonts w:eastAsia="Calibri"/>
          <w:lang w:val="es-ES_tradnl"/>
        </w:rPr>
        <w:t xml:space="preserve">el gran </w:t>
      </w:r>
      <w:r w:rsidR="00B71D26" w:rsidRPr="00AA30B3">
        <w:rPr>
          <w:rFonts w:eastAsia="Calibri"/>
          <w:lang w:val="es-ES_tradnl"/>
        </w:rPr>
        <w:t xml:space="preserve">deterioro de </w:t>
      </w:r>
      <w:r w:rsidR="00CF6A07">
        <w:rPr>
          <w:rFonts w:eastAsia="Calibri"/>
          <w:lang w:val="es-ES_tradnl"/>
        </w:rPr>
        <w:t xml:space="preserve">los </w:t>
      </w:r>
      <w:r w:rsidR="00D75230">
        <w:rPr>
          <w:rFonts w:eastAsia="Calibri"/>
          <w:lang w:val="es-ES_tradnl"/>
        </w:rPr>
        <w:t>cultivos</w:t>
      </w:r>
      <w:r w:rsidR="00E00653">
        <w:rPr>
          <w:rFonts w:eastAsia="Calibri"/>
          <w:lang w:val="es-ES_tradnl"/>
        </w:rPr>
        <w:t>.</w:t>
      </w:r>
    </w:p>
    <w:p w:rsidR="00CD5993" w:rsidRPr="00C56770" w:rsidRDefault="00800B57" w:rsidP="00B104F5">
      <w:pPr>
        <w:pStyle w:val="SingleTxtG"/>
        <w:rPr>
          <w:rFonts w:eastAsia="Calibri"/>
          <w:lang w:val="es-ES_tradnl"/>
        </w:rPr>
      </w:pPr>
      <w:r>
        <w:rPr>
          <w:rFonts w:eastAsia="Calibri"/>
          <w:lang w:val="es-ES_tradnl"/>
        </w:rPr>
        <w:t>2.</w:t>
      </w:r>
      <w:r w:rsidR="0032554D">
        <w:rPr>
          <w:rFonts w:eastAsia="Calibri"/>
          <w:lang w:val="es-ES_tradnl"/>
        </w:rPr>
        <w:t>6</w:t>
      </w:r>
      <w:r>
        <w:rPr>
          <w:rFonts w:eastAsia="Calibri"/>
          <w:lang w:val="es-ES_tradnl"/>
        </w:rPr>
        <w:tab/>
      </w:r>
      <w:r w:rsidR="00F642F0">
        <w:rPr>
          <w:rFonts w:eastAsia="Calibri"/>
          <w:lang w:val="es-ES_tradnl"/>
        </w:rPr>
        <w:t>Desde</w:t>
      </w:r>
      <w:r w:rsidR="00C7679B">
        <w:rPr>
          <w:rFonts w:eastAsia="Calibri"/>
          <w:lang w:val="es-ES_tradnl"/>
        </w:rPr>
        <w:t xml:space="preserve"> </w:t>
      </w:r>
      <w:r w:rsidR="0060749A">
        <w:rPr>
          <w:rFonts w:eastAsia="Calibri"/>
          <w:lang w:val="es-ES_tradnl"/>
        </w:rPr>
        <w:t>aproximadamente 2005</w:t>
      </w:r>
      <w:r w:rsidR="00C7679B">
        <w:rPr>
          <w:rFonts w:eastAsia="Calibri"/>
          <w:lang w:val="es-ES_tradnl"/>
        </w:rPr>
        <w:t xml:space="preserve">, </w:t>
      </w:r>
      <w:r w:rsidR="000603F9" w:rsidRPr="006014A2">
        <w:rPr>
          <w:color w:val="000000"/>
          <w:lang w:val="es-ES_tradnl"/>
        </w:rPr>
        <w:t xml:space="preserve">cuando empezaron las </w:t>
      </w:r>
      <w:r w:rsidR="00A054D1">
        <w:rPr>
          <w:color w:val="000000"/>
          <w:lang w:val="es-ES_tradnl"/>
        </w:rPr>
        <w:t xml:space="preserve">explotaciones agrícolas </w:t>
      </w:r>
      <w:r w:rsidR="000603F9" w:rsidRPr="006014A2">
        <w:rPr>
          <w:color w:val="000000"/>
          <w:lang w:val="es-ES_tradnl"/>
        </w:rPr>
        <w:t>colindantes</w:t>
      </w:r>
      <w:r w:rsidR="00CF78ED">
        <w:rPr>
          <w:color w:val="000000"/>
          <w:lang w:val="es-ES_tradnl"/>
        </w:rPr>
        <w:t xml:space="preserve"> a producir en forma mecanizada</w:t>
      </w:r>
      <w:r w:rsidR="006014A2">
        <w:rPr>
          <w:rFonts w:eastAsia="Calibri"/>
          <w:lang w:val="es-ES_tradnl"/>
        </w:rPr>
        <w:t>,</w:t>
      </w:r>
      <w:r w:rsidR="00FE6491">
        <w:rPr>
          <w:rFonts w:eastAsia="Calibri"/>
          <w:lang w:val="es-ES_tradnl"/>
        </w:rPr>
        <w:t xml:space="preserve"> </w:t>
      </w:r>
      <w:r w:rsidR="00115EA3">
        <w:rPr>
          <w:rFonts w:eastAsia="Calibri"/>
          <w:lang w:val="es-ES_tradnl"/>
        </w:rPr>
        <w:t xml:space="preserve">los autores </w:t>
      </w:r>
      <w:r w:rsidR="000603F9">
        <w:rPr>
          <w:rFonts w:eastAsia="Calibri"/>
          <w:lang w:val="es-ES_tradnl"/>
        </w:rPr>
        <w:t xml:space="preserve">sienten </w:t>
      </w:r>
      <w:r w:rsidR="00B367BB">
        <w:rPr>
          <w:color w:val="000000"/>
          <w:lang w:val="es-ES_tradnl"/>
        </w:rPr>
        <w:t>en época de siembra de soja,</w:t>
      </w:r>
      <w:r w:rsidR="00B367BB">
        <w:rPr>
          <w:rFonts w:eastAsia="Calibri"/>
          <w:lang w:val="es-ES_tradnl"/>
        </w:rPr>
        <w:t xml:space="preserve"> </w:t>
      </w:r>
      <w:r w:rsidR="00AD718F">
        <w:rPr>
          <w:rFonts w:eastAsia="Calibri"/>
          <w:lang w:val="es-ES_tradnl"/>
        </w:rPr>
        <w:t>durante y después de las fumigaciones</w:t>
      </w:r>
      <w:r w:rsidR="0060749A">
        <w:rPr>
          <w:color w:val="000000"/>
          <w:lang w:val="es-ES_tradnl"/>
        </w:rPr>
        <w:t>,</w:t>
      </w:r>
      <w:r w:rsidR="0060749A">
        <w:rPr>
          <w:rFonts w:eastAsia="Calibri"/>
          <w:lang w:val="es-ES_tradnl"/>
        </w:rPr>
        <w:t xml:space="preserve"> </w:t>
      </w:r>
      <w:r w:rsidR="00A054D1">
        <w:rPr>
          <w:rFonts w:eastAsia="Calibri"/>
          <w:lang w:val="es-ES_tradnl"/>
        </w:rPr>
        <w:t xml:space="preserve">diversos malestares </w:t>
      </w:r>
      <w:r w:rsidR="00A054D1">
        <w:rPr>
          <w:color w:val="000000"/>
          <w:lang w:val="es-ES_tradnl"/>
        </w:rPr>
        <w:t>físicos</w:t>
      </w:r>
      <w:r w:rsidR="00A054D1">
        <w:rPr>
          <w:rFonts w:eastAsia="Calibri"/>
          <w:lang w:val="es-ES_tradnl"/>
        </w:rPr>
        <w:t xml:space="preserve"> </w:t>
      </w:r>
      <w:r w:rsidR="00C56770">
        <w:rPr>
          <w:rFonts w:eastAsia="Calibri"/>
          <w:lang w:val="es-ES_tradnl"/>
        </w:rPr>
        <w:t>como náuseas</w:t>
      </w:r>
      <w:r w:rsidR="00817B4E">
        <w:rPr>
          <w:rFonts w:eastAsia="Calibri"/>
          <w:lang w:val="es-ES_tradnl"/>
        </w:rPr>
        <w:t xml:space="preserve">, mareos, dolor de cabeza, </w:t>
      </w:r>
      <w:r w:rsidR="00AD718F">
        <w:rPr>
          <w:rFonts w:eastAsia="Calibri"/>
          <w:lang w:val="es-ES_tradnl"/>
        </w:rPr>
        <w:t xml:space="preserve">fiebre, </w:t>
      </w:r>
      <w:r w:rsidR="00E41BE1" w:rsidRPr="00E41BE1">
        <w:rPr>
          <w:color w:val="000000"/>
          <w:lang w:val="es-ES_tradnl"/>
        </w:rPr>
        <w:t xml:space="preserve">dolor estomacal, </w:t>
      </w:r>
      <w:r w:rsidR="00B71D26">
        <w:rPr>
          <w:rFonts w:eastAsia="Calibri"/>
          <w:lang w:val="es-ES_tradnl"/>
        </w:rPr>
        <w:t>vómito</w:t>
      </w:r>
      <w:r w:rsidR="000603F9">
        <w:rPr>
          <w:rFonts w:eastAsia="Calibri"/>
          <w:lang w:val="es-ES_tradnl"/>
        </w:rPr>
        <w:t>,</w:t>
      </w:r>
      <w:r w:rsidR="000603F9" w:rsidRPr="000603F9">
        <w:rPr>
          <w:color w:val="000000"/>
          <w:lang w:val="es-ES_tradnl"/>
        </w:rPr>
        <w:t xml:space="preserve"> </w:t>
      </w:r>
      <w:r w:rsidR="000603F9">
        <w:rPr>
          <w:color w:val="000000"/>
          <w:lang w:val="es-ES_tradnl"/>
        </w:rPr>
        <w:t xml:space="preserve">diarrea, </w:t>
      </w:r>
      <w:r w:rsidR="00E41BE1">
        <w:rPr>
          <w:color w:val="000000"/>
          <w:lang w:val="es-ES_tradnl"/>
        </w:rPr>
        <w:t xml:space="preserve">tos </w:t>
      </w:r>
      <w:r w:rsidR="000603F9">
        <w:rPr>
          <w:color w:val="000000"/>
          <w:lang w:val="es-ES_tradnl"/>
        </w:rPr>
        <w:t>y</w:t>
      </w:r>
      <w:r w:rsidR="000603F9" w:rsidRPr="000603F9">
        <w:rPr>
          <w:color w:val="000000"/>
          <w:lang w:val="es-ES_tradnl"/>
        </w:rPr>
        <w:t xml:space="preserve"> </w:t>
      </w:r>
      <w:r w:rsidR="00E41BE1" w:rsidRPr="00E41BE1">
        <w:rPr>
          <w:color w:val="000000"/>
          <w:lang w:val="es-ES_tradnl"/>
        </w:rPr>
        <w:t xml:space="preserve">lesiones </w:t>
      </w:r>
      <w:r w:rsidR="000603F9">
        <w:rPr>
          <w:color w:val="000000"/>
          <w:lang w:val="es-ES_tradnl"/>
        </w:rPr>
        <w:t>en la piel</w:t>
      </w:r>
      <w:r w:rsidR="00B71D26">
        <w:rPr>
          <w:rFonts w:eastAsia="Calibri"/>
          <w:lang w:val="es-ES_tradnl"/>
        </w:rPr>
        <w:t>.</w:t>
      </w:r>
      <w:r w:rsidR="002B4965">
        <w:rPr>
          <w:rFonts w:eastAsia="Calibri"/>
          <w:lang w:val="es-ES_tradnl"/>
        </w:rPr>
        <w:t xml:space="preserve"> </w:t>
      </w:r>
      <w:r w:rsidR="00115EA3">
        <w:rPr>
          <w:rFonts w:eastAsia="Calibri"/>
          <w:lang w:val="es-ES_tradnl"/>
        </w:rPr>
        <w:t>L</w:t>
      </w:r>
      <w:r w:rsidR="002B4965">
        <w:rPr>
          <w:rFonts w:eastAsia="Calibri"/>
          <w:lang w:val="es-ES_tradnl"/>
        </w:rPr>
        <w:t xml:space="preserve">os dos caminos de tierra que conectan la Colonia con la carretera </w:t>
      </w:r>
      <w:r w:rsidR="00B877FC">
        <w:rPr>
          <w:rFonts w:eastAsia="Calibri"/>
          <w:lang w:val="es-ES_tradnl"/>
        </w:rPr>
        <w:t xml:space="preserve">principal </w:t>
      </w:r>
      <w:r w:rsidR="002B4965">
        <w:rPr>
          <w:rFonts w:eastAsia="Calibri"/>
          <w:lang w:val="es-ES_tradnl"/>
        </w:rPr>
        <w:t>asfaltada</w:t>
      </w:r>
      <w:r w:rsidR="00B104F5">
        <w:rPr>
          <w:rFonts w:eastAsia="Calibri"/>
          <w:lang w:val="es-ES_tradnl"/>
        </w:rPr>
        <w:t xml:space="preserve">, </w:t>
      </w:r>
      <w:r w:rsidR="002E44EF">
        <w:rPr>
          <w:rFonts w:eastAsia="Calibri"/>
          <w:lang w:val="es-ES_tradnl"/>
        </w:rPr>
        <w:t>atraviesan g</w:t>
      </w:r>
      <w:r w:rsidR="00B877FC">
        <w:rPr>
          <w:rFonts w:eastAsia="Calibri"/>
          <w:lang w:val="es-ES_tradnl"/>
        </w:rPr>
        <w:t>randes extensiones de cultivos sin que</w:t>
      </w:r>
      <w:r w:rsidR="002E44EF">
        <w:rPr>
          <w:rFonts w:eastAsia="Calibri"/>
          <w:lang w:val="es-ES_tradnl"/>
        </w:rPr>
        <w:t xml:space="preserve"> ningún </w:t>
      </w:r>
      <w:r w:rsidR="00B877FC">
        <w:rPr>
          <w:rFonts w:eastAsia="Calibri"/>
          <w:lang w:val="es-ES_tradnl"/>
        </w:rPr>
        <w:t>trecho cuente</w:t>
      </w:r>
      <w:r w:rsidR="002E44EF">
        <w:rPr>
          <w:rFonts w:eastAsia="Calibri"/>
          <w:lang w:val="es-ES_tradnl"/>
        </w:rPr>
        <w:t xml:space="preserve"> con la protección adecuad</w:t>
      </w:r>
      <w:r w:rsidR="00B877FC">
        <w:rPr>
          <w:rFonts w:eastAsia="Calibri"/>
          <w:lang w:val="es-ES_tradnl"/>
        </w:rPr>
        <w:t xml:space="preserve">a. En consecuencia, </w:t>
      </w:r>
      <w:r w:rsidR="002E44EF">
        <w:rPr>
          <w:rFonts w:eastAsia="Calibri"/>
          <w:lang w:val="es-ES_tradnl"/>
        </w:rPr>
        <w:t xml:space="preserve">los integrantes de la comunidad que necesiten </w:t>
      </w:r>
      <w:r w:rsidR="00B877FC">
        <w:rPr>
          <w:rFonts w:eastAsia="Calibri"/>
          <w:lang w:val="es-ES_tradnl"/>
        </w:rPr>
        <w:t xml:space="preserve">acceder a la </w:t>
      </w:r>
      <w:r w:rsidR="003A46E5" w:rsidRPr="003A46E5">
        <w:rPr>
          <w:rFonts w:eastAsia="Calibri"/>
          <w:lang w:val="es-ES_tradnl"/>
        </w:rPr>
        <w:t>carretera principal</w:t>
      </w:r>
      <w:r w:rsidR="002E44EF">
        <w:rPr>
          <w:rFonts w:eastAsia="Calibri"/>
          <w:lang w:val="es-ES_tradnl"/>
        </w:rPr>
        <w:t xml:space="preserve"> están expuestos </w:t>
      </w:r>
      <w:r w:rsidR="00BD25A8">
        <w:rPr>
          <w:rFonts w:eastAsia="Calibri"/>
          <w:lang w:val="es-ES_tradnl"/>
        </w:rPr>
        <w:t>a los agro-tóxicos</w:t>
      </w:r>
      <w:r w:rsidR="002E44EF">
        <w:rPr>
          <w:rFonts w:eastAsia="Calibri"/>
          <w:lang w:val="es-ES_tradnl"/>
        </w:rPr>
        <w:t>.</w:t>
      </w:r>
      <w:r w:rsidR="00770298">
        <w:rPr>
          <w:rFonts w:eastAsia="Calibri"/>
          <w:lang w:val="es-ES_tradnl"/>
        </w:rPr>
        <w:t xml:space="preserve"> </w:t>
      </w:r>
      <w:r w:rsidR="00820C6D" w:rsidRPr="00DC7D8B">
        <w:rPr>
          <w:rFonts w:eastAsia="Calibri"/>
          <w:lang w:val="es-ES_tradnl"/>
        </w:rPr>
        <w:t>E</w:t>
      </w:r>
      <w:r w:rsidR="000900F5" w:rsidRPr="00DC7D8B">
        <w:rPr>
          <w:rFonts w:eastAsia="Calibri"/>
          <w:lang w:val="es-ES_tradnl"/>
        </w:rPr>
        <w:t>n cada periodo anual de cultivo de soja</w:t>
      </w:r>
      <w:r w:rsidR="00527F27">
        <w:rPr>
          <w:rFonts w:eastAsia="Calibri"/>
          <w:lang w:val="es-ES_tradnl"/>
        </w:rPr>
        <w:t xml:space="preserve"> </w:t>
      </w:r>
      <w:r w:rsidR="00770298" w:rsidRPr="00DC7D8B">
        <w:rPr>
          <w:rFonts w:eastAsia="Calibri"/>
          <w:lang w:val="es-ES_tradnl"/>
        </w:rPr>
        <w:t xml:space="preserve">los integrantes de la comunidad han </w:t>
      </w:r>
      <w:r w:rsidR="00593A3F">
        <w:rPr>
          <w:rFonts w:eastAsia="Calibri"/>
          <w:lang w:val="es-ES_tradnl"/>
        </w:rPr>
        <w:t>presentado quejas</w:t>
      </w:r>
      <w:r w:rsidR="00770298" w:rsidRPr="00DC7D8B">
        <w:rPr>
          <w:rFonts w:eastAsia="Calibri"/>
          <w:lang w:val="es-ES_tradnl"/>
        </w:rPr>
        <w:t xml:space="preserve"> ante diversas autoridades del Estado (</w:t>
      </w:r>
      <w:r w:rsidR="00527F27">
        <w:rPr>
          <w:rFonts w:eastAsia="Calibri"/>
          <w:lang w:val="es-ES_tradnl"/>
        </w:rPr>
        <w:t xml:space="preserve">autoridades </w:t>
      </w:r>
      <w:r w:rsidR="00EC5F42">
        <w:rPr>
          <w:rFonts w:eastAsia="Calibri"/>
          <w:lang w:val="es-ES_tradnl"/>
        </w:rPr>
        <w:t>ministeriales y admin</w:t>
      </w:r>
      <w:r w:rsidR="00D02CFC">
        <w:rPr>
          <w:rFonts w:eastAsia="Calibri"/>
          <w:lang w:val="es-ES_tradnl"/>
        </w:rPr>
        <w:t>istrativas</w:t>
      </w:r>
      <w:r w:rsidR="00DC7D8B">
        <w:rPr>
          <w:rFonts w:eastAsia="Calibri"/>
          <w:lang w:val="es-ES_tradnl"/>
        </w:rPr>
        <w:t xml:space="preserve"> </w:t>
      </w:r>
      <w:r w:rsidR="00EC5F42">
        <w:rPr>
          <w:rFonts w:eastAsia="Calibri"/>
          <w:lang w:val="es-ES_tradnl"/>
        </w:rPr>
        <w:t>como</w:t>
      </w:r>
      <w:r w:rsidR="00DC7D8B">
        <w:rPr>
          <w:rFonts w:eastAsia="Calibri"/>
          <w:lang w:val="es-ES_tradnl"/>
        </w:rPr>
        <w:t xml:space="preserve"> el</w:t>
      </w:r>
      <w:r w:rsidR="00770298" w:rsidRPr="00DC7D8B">
        <w:rPr>
          <w:rFonts w:eastAsia="Calibri"/>
          <w:lang w:val="es-ES_tradnl"/>
        </w:rPr>
        <w:t xml:space="preserve"> </w:t>
      </w:r>
      <w:r w:rsidR="00DC7D8B" w:rsidRPr="00DC7D8B">
        <w:rPr>
          <w:rFonts w:eastAsia="Calibri"/>
          <w:lang w:val="es-ES_tradnl"/>
        </w:rPr>
        <w:t>Ministerio de Agricultura</w:t>
      </w:r>
      <w:r w:rsidR="00EC5F42">
        <w:rPr>
          <w:rFonts w:eastAsia="Calibri"/>
          <w:lang w:val="es-ES_tradnl"/>
        </w:rPr>
        <w:t>, la</w:t>
      </w:r>
      <w:r w:rsidR="00DC7D8B">
        <w:rPr>
          <w:rFonts w:eastAsia="Calibri"/>
          <w:lang w:val="es-ES_tradnl"/>
        </w:rPr>
        <w:t xml:space="preserve"> </w:t>
      </w:r>
      <w:r w:rsidR="00EC5F42" w:rsidRPr="00DC7D8B">
        <w:rPr>
          <w:rFonts w:eastAsia="Calibri"/>
          <w:lang w:val="es-ES_tradnl"/>
        </w:rPr>
        <w:t>SEAM</w:t>
      </w:r>
      <w:r w:rsidR="00EC5F42">
        <w:rPr>
          <w:rFonts w:eastAsia="Calibri"/>
          <w:lang w:val="es-ES_tradnl"/>
        </w:rPr>
        <w:t>,</w:t>
      </w:r>
      <w:r w:rsidR="00EC5F42" w:rsidRPr="00DC7D8B">
        <w:rPr>
          <w:rFonts w:eastAsia="Calibri"/>
          <w:lang w:val="es-ES_tradnl"/>
        </w:rPr>
        <w:t xml:space="preserve"> </w:t>
      </w:r>
      <w:r w:rsidR="00DC7D8B">
        <w:rPr>
          <w:rFonts w:eastAsia="Calibri"/>
          <w:lang w:val="es-ES_tradnl"/>
        </w:rPr>
        <w:t xml:space="preserve">el </w:t>
      </w:r>
      <w:r w:rsidR="00EC5F42">
        <w:rPr>
          <w:rFonts w:eastAsia="Calibri"/>
          <w:lang w:val="es-ES_tradnl"/>
        </w:rPr>
        <w:t>INDERT y</w:t>
      </w:r>
      <w:r w:rsidR="00770298" w:rsidRPr="00DC7D8B">
        <w:rPr>
          <w:rFonts w:eastAsia="Calibri"/>
          <w:lang w:val="es-ES_tradnl"/>
        </w:rPr>
        <w:t xml:space="preserve"> </w:t>
      </w:r>
      <w:r w:rsidR="00EC5F42">
        <w:rPr>
          <w:rFonts w:eastAsia="Calibri"/>
          <w:lang w:val="es-ES_tradnl"/>
        </w:rPr>
        <w:t xml:space="preserve">el </w:t>
      </w:r>
      <w:r w:rsidR="00770298" w:rsidRPr="00DC7D8B">
        <w:rPr>
          <w:rFonts w:eastAsia="Calibri"/>
          <w:lang w:val="es-ES_tradnl"/>
        </w:rPr>
        <w:t xml:space="preserve">SENAVE, </w:t>
      </w:r>
      <w:r w:rsidR="00D02CFC">
        <w:rPr>
          <w:rFonts w:eastAsia="Calibri"/>
          <w:lang w:val="es-ES_tradnl"/>
        </w:rPr>
        <w:t>pero también ju</w:t>
      </w:r>
      <w:r w:rsidR="00527F27">
        <w:rPr>
          <w:rFonts w:eastAsia="Calibri"/>
          <w:lang w:val="es-ES_tradnl"/>
        </w:rPr>
        <w:t>diciales, como la</w:t>
      </w:r>
      <w:r w:rsidR="00770298" w:rsidRPr="00DC7D8B">
        <w:rPr>
          <w:rFonts w:eastAsia="Calibri"/>
          <w:lang w:val="es-ES_tradnl"/>
        </w:rPr>
        <w:t xml:space="preserve"> Fiscalía Penal de Curuguaty)</w:t>
      </w:r>
      <w:r w:rsidR="00FE2360">
        <w:rPr>
          <w:rFonts w:eastAsia="Calibri"/>
          <w:lang w:val="es-ES_tradnl"/>
        </w:rPr>
        <w:t>;</w:t>
      </w:r>
      <w:r w:rsidR="00770298" w:rsidRPr="00DC7D8B">
        <w:rPr>
          <w:rFonts w:eastAsia="Calibri"/>
          <w:lang w:val="es-ES_tradnl"/>
        </w:rPr>
        <w:t xml:space="preserve"> nunca han recibido respuesta.</w:t>
      </w:r>
    </w:p>
    <w:p w:rsidR="00800B57" w:rsidRDefault="00800B57" w:rsidP="001F447E">
      <w:pPr>
        <w:pStyle w:val="SingleTxtG"/>
        <w:rPr>
          <w:color w:val="000000"/>
          <w:lang w:val="es-ES_tradnl"/>
        </w:rPr>
      </w:pPr>
      <w:r>
        <w:rPr>
          <w:color w:val="000000"/>
          <w:lang w:val="es-ES_tradnl"/>
        </w:rPr>
        <w:t>2.</w:t>
      </w:r>
      <w:r w:rsidR="0064590A">
        <w:rPr>
          <w:color w:val="000000"/>
          <w:lang w:val="es-ES_tradnl"/>
        </w:rPr>
        <w:t>7</w:t>
      </w:r>
      <w:r>
        <w:rPr>
          <w:color w:val="000000"/>
          <w:lang w:val="es-ES_tradnl"/>
        </w:rPr>
        <w:tab/>
      </w:r>
      <w:r w:rsidR="00E66C60">
        <w:rPr>
          <w:color w:val="000000"/>
          <w:lang w:val="es-ES_tradnl"/>
        </w:rPr>
        <w:t>E</w:t>
      </w:r>
      <w:r w:rsidR="000B3EA7">
        <w:rPr>
          <w:color w:val="000000"/>
          <w:lang w:val="es-ES_tradnl"/>
        </w:rPr>
        <w:t>l 3 de enero</w:t>
      </w:r>
      <w:r w:rsidR="00E66C60">
        <w:rPr>
          <w:color w:val="000000"/>
          <w:lang w:val="es-ES_tradnl"/>
        </w:rPr>
        <w:t xml:space="preserve"> de 2011</w:t>
      </w:r>
      <w:r w:rsidR="000B3EA7">
        <w:rPr>
          <w:color w:val="000000"/>
          <w:lang w:val="es-ES_tradnl"/>
        </w:rPr>
        <w:t xml:space="preserve">, </w:t>
      </w:r>
      <w:r w:rsidR="00E66C60">
        <w:rPr>
          <w:color w:val="000000"/>
          <w:lang w:val="es-ES_tradnl"/>
        </w:rPr>
        <w:t>el Sr.</w:t>
      </w:r>
      <w:r w:rsidR="00381CDD">
        <w:rPr>
          <w:color w:val="000000"/>
          <w:lang w:val="es-ES_tradnl"/>
        </w:rPr>
        <w:t xml:space="preserve"> Portillo Cáceres, </w:t>
      </w:r>
      <w:r w:rsidR="00E66C60">
        <w:rPr>
          <w:color w:val="000000"/>
          <w:lang w:val="es-ES_tradnl"/>
        </w:rPr>
        <w:t xml:space="preserve">campesino </w:t>
      </w:r>
      <w:r w:rsidR="00381CDD">
        <w:rPr>
          <w:color w:val="000000"/>
          <w:lang w:val="es-ES_tradnl"/>
        </w:rPr>
        <w:t xml:space="preserve">de 26 años, </w:t>
      </w:r>
      <w:r w:rsidR="000B3EA7" w:rsidRPr="000B3EA7">
        <w:rPr>
          <w:color w:val="000000"/>
          <w:lang w:val="es-ES_tradnl"/>
        </w:rPr>
        <w:t>comenzó a presentar un cuadro de vómitos, diarrea, fiebre y malestar general</w:t>
      </w:r>
      <w:r w:rsidR="009B3D96">
        <w:rPr>
          <w:color w:val="000000"/>
          <w:lang w:val="es-ES_tradnl"/>
        </w:rPr>
        <w:t xml:space="preserve">. Semanas antes, le habían aparecido en la boca, </w:t>
      </w:r>
      <w:r w:rsidR="00E66C60">
        <w:rPr>
          <w:color w:val="000000"/>
          <w:lang w:val="es-ES_tradnl"/>
        </w:rPr>
        <w:t xml:space="preserve">en el </w:t>
      </w:r>
      <w:r w:rsidR="009B3D96">
        <w:rPr>
          <w:color w:val="000000"/>
          <w:lang w:val="es-ES_tradnl"/>
        </w:rPr>
        <w:t>rostro y en los dedos granos que supuraban. E</w:t>
      </w:r>
      <w:r w:rsidR="009B3D96" w:rsidRPr="009B3D96">
        <w:rPr>
          <w:color w:val="000000"/>
          <w:lang w:val="es-ES_tradnl"/>
        </w:rPr>
        <w:t>l 6 de enero de 2011</w:t>
      </w:r>
      <w:r w:rsidR="009B3D96">
        <w:rPr>
          <w:color w:val="000000"/>
          <w:lang w:val="es-ES_tradnl"/>
        </w:rPr>
        <w:t xml:space="preserve">, su </w:t>
      </w:r>
      <w:r w:rsidR="00115EA3">
        <w:rPr>
          <w:color w:val="000000"/>
          <w:lang w:val="es-ES_tradnl"/>
        </w:rPr>
        <w:t xml:space="preserve">situación </w:t>
      </w:r>
      <w:r w:rsidR="009B3D96">
        <w:rPr>
          <w:color w:val="000000"/>
          <w:lang w:val="es-ES_tradnl"/>
        </w:rPr>
        <w:t xml:space="preserve">empeoró y fue llevado al puesto de </w:t>
      </w:r>
      <w:r w:rsidR="00E66C60">
        <w:rPr>
          <w:color w:val="000000"/>
          <w:lang w:val="es-ES_tradnl"/>
        </w:rPr>
        <w:t>salud</w:t>
      </w:r>
      <w:r w:rsidR="009B3D96">
        <w:rPr>
          <w:color w:val="000000"/>
          <w:lang w:val="es-ES_tradnl"/>
        </w:rPr>
        <w:t xml:space="preserve"> de la Colonia</w:t>
      </w:r>
      <w:r w:rsidR="00EC2FFD">
        <w:rPr>
          <w:color w:val="000000"/>
          <w:lang w:val="es-ES_tradnl"/>
        </w:rPr>
        <w:t xml:space="preserve">, donde fue tratado por las </w:t>
      </w:r>
      <w:r w:rsidR="00114BAE">
        <w:rPr>
          <w:color w:val="000000"/>
          <w:lang w:val="es-ES_tradnl"/>
        </w:rPr>
        <w:t>náuseas</w:t>
      </w:r>
      <w:r w:rsidR="00EC2FFD">
        <w:rPr>
          <w:color w:val="000000"/>
          <w:lang w:val="es-ES_tradnl"/>
        </w:rPr>
        <w:t xml:space="preserve"> y el vómito</w:t>
      </w:r>
      <w:r w:rsidR="009B3D96">
        <w:rPr>
          <w:color w:val="000000"/>
          <w:lang w:val="es-ES_tradnl"/>
        </w:rPr>
        <w:t>.</w:t>
      </w:r>
      <w:r w:rsidR="009B3D96" w:rsidRPr="009B3D96">
        <w:rPr>
          <w:color w:val="000000"/>
          <w:lang w:val="es-ES_tradnl"/>
        </w:rPr>
        <w:t xml:space="preserve"> Al no presentar mejoría</w:t>
      </w:r>
      <w:r w:rsidR="00E66C60">
        <w:rPr>
          <w:color w:val="000000"/>
          <w:lang w:val="es-ES_tradnl"/>
        </w:rPr>
        <w:t>, estar muy</w:t>
      </w:r>
      <w:r w:rsidR="009B3D96" w:rsidRPr="009B3D96">
        <w:rPr>
          <w:color w:val="000000"/>
          <w:lang w:val="es-ES_tradnl"/>
        </w:rPr>
        <w:t xml:space="preserve"> </w:t>
      </w:r>
      <w:r w:rsidR="00E66C60">
        <w:rPr>
          <w:color w:val="000000"/>
          <w:lang w:val="es-ES_tradnl"/>
        </w:rPr>
        <w:t>pálido y débil</w:t>
      </w:r>
      <w:r w:rsidR="00E66C60" w:rsidRPr="009B3D96">
        <w:rPr>
          <w:color w:val="000000"/>
          <w:lang w:val="es-ES_tradnl"/>
        </w:rPr>
        <w:t xml:space="preserve"> </w:t>
      </w:r>
      <w:r w:rsidR="00E66C60">
        <w:rPr>
          <w:color w:val="000000"/>
          <w:lang w:val="es-ES_tradnl"/>
        </w:rPr>
        <w:t>y no poder mantenerse en pie</w:t>
      </w:r>
      <w:r w:rsidR="00313629">
        <w:rPr>
          <w:color w:val="000000"/>
          <w:lang w:val="es-ES_tradnl"/>
        </w:rPr>
        <w:t xml:space="preserve">, </w:t>
      </w:r>
      <w:r w:rsidR="009B3D96" w:rsidRPr="009B3D96">
        <w:rPr>
          <w:color w:val="000000"/>
          <w:lang w:val="es-ES_tradnl"/>
        </w:rPr>
        <w:t xml:space="preserve">sus familiares </w:t>
      </w:r>
      <w:r w:rsidR="003F7989">
        <w:rPr>
          <w:color w:val="000000"/>
          <w:lang w:val="es-ES_tradnl"/>
        </w:rPr>
        <w:t xml:space="preserve">lograron </w:t>
      </w:r>
      <w:r w:rsidR="004E7693">
        <w:rPr>
          <w:color w:val="000000"/>
          <w:lang w:val="es-ES_tradnl"/>
        </w:rPr>
        <w:t>conseguir un medio de transporte y llevarlo</w:t>
      </w:r>
      <w:r w:rsidR="003F7989">
        <w:rPr>
          <w:color w:val="000000"/>
          <w:lang w:val="es-ES_tradnl"/>
        </w:rPr>
        <w:t xml:space="preserve"> al H</w:t>
      </w:r>
      <w:r w:rsidR="009B3D96" w:rsidRPr="009B3D96">
        <w:rPr>
          <w:color w:val="000000"/>
          <w:lang w:val="es-ES_tradnl"/>
        </w:rPr>
        <w:t xml:space="preserve">ospital </w:t>
      </w:r>
      <w:r w:rsidR="003F7989">
        <w:rPr>
          <w:color w:val="000000"/>
          <w:lang w:val="es-ES_tradnl"/>
        </w:rPr>
        <w:t>D</w:t>
      </w:r>
      <w:r w:rsidR="00391F8E">
        <w:rPr>
          <w:color w:val="000000"/>
          <w:lang w:val="es-ES_tradnl"/>
        </w:rPr>
        <w:t xml:space="preserve">istrital </w:t>
      </w:r>
      <w:r w:rsidR="009B3D96" w:rsidRPr="009B3D96">
        <w:rPr>
          <w:color w:val="000000"/>
          <w:lang w:val="es-ES_tradnl"/>
        </w:rPr>
        <w:t>de Curuguaty</w:t>
      </w:r>
      <w:r w:rsidR="004E7693">
        <w:rPr>
          <w:color w:val="000000"/>
          <w:lang w:val="es-ES_tradnl"/>
        </w:rPr>
        <w:t xml:space="preserve">, ubicado a más de cuatro horas de </w:t>
      </w:r>
      <w:r w:rsidR="00115EA3">
        <w:rPr>
          <w:color w:val="000000"/>
          <w:lang w:val="es-ES_tradnl"/>
        </w:rPr>
        <w:t>distancia</w:t>
      </w:r>
      <w:r>
        <w:rPr>
          <w:color w:val="000000"/>
          <w:lang w:val="es-ES_tradnl"/>
        </w:rPr>
        <w:t>.</w:t>
      </w:r>
      <w:r w:rsidR="004B4A08">
        <w:rPr>
          <w:rStyle w:val="FootnoteReference"/>
          <w:color w:val="000000"/>
          <w:lang w:val="es-ES_tradnl"/>
        </w:rPr>
        <w:footnoteReference w:id="8"/>
      </w:r>
      <w:r w:rsidR="00391F8E">
        <w:rPr>
          <w:color w:val="000000"/>
          <w:lang w:val="es-ES_tradnl"/>
        </w:rPr>
        <w:t xml:space="preserve"> </w:t>
      </w:r>
      <w:r w:rsidR="00E83F73">
        <w:rPr>
          <w:color w:val="000000"/>
          <w:lang w:val="es-ES_tradnl"/>
        </w:rPr>
        <w:t>E</w:t>
      </w:r>
      <w:r w:rsidR="004E7693" w:rsidRPr="004E7693">
        <w:rPr>
          <w:color w:val="000000"/>
          <w:lang w:val="es-ES_tradnl"/>
        </w:rPr>
        <w:t xml:space="preserve">l Sr. Portillo Cáceres </w:t>
      </w:r>
      <w:r>
        <w:rPr>
          <w:color w:val="000000"/>
          <w:lang w:val="es-ES_tradnl"/>
        </w:rPr>
        <w:t>falleció en el camino; e</w:t>
      </w:r>
      <w:r w:rsidR="0046745C">
        <w:rPr>
          <w:color w:val="000000"/>
          <w:lang w:val="es-ES_tradnl"/>
        </w:rPr>
        <w:t>n el h</w:t>
      </w:r>
      <w:r w:rsidR="003F7989">
        <w:rPr>
          <w:color w:val="000000"/>
          <w:lang w:val="es-ES_tradnl"/>
        </w:rPr>
        <w:t xml:space="preserve">ospital, </w:t>
      </w:r>
      <w:r w:rsidR="00391F8E">
        <w:rPr>
          <w:color w:val="000000"/>
          <w:lang w:val="es-ES_tradnl"/>
        </w:rPr>
        <w:t xml:space="preserve">el </w:t>
      </w:r>
      <w:r>
        <w:rPr>
          <w:color w:val="000000"/>
          <w:lang w:val="es-ES_tradnl"/>
        </w:rPr>
        <w:t xml:space="preserve">médico </w:t>
      </w:r>
      <w:r w:rsidR="00391F8E">
        <w:rPr>
          <w:color w:val="000000"/>
          <w:lang w:val="es-ES_tradnl"/>
        </w:rPr>
        <w:t xml:space="preserve">intentó maniobras de reanimación </w:t>
      </w:r>
      <w:r w:rsidR="005A06C8">
        <w:rPr>
          <w:color w:val="000000"/>
          <w:lang w:val="es-ES_tradnl"/>
        </w:rPr>
        <w:t>cardiorrespir</w:t>
      </w:r>
      <w:r w:rsidR="004E7693">
        <w:rPr>
          <w:color w:val="000000"/>
          <w:lang w:val="es-ES_tradnl"/>
        </w:rPr>
        <w:t>atoria, sin respuesta favorable</w:t>
      </w:r>
      <w:r w:rsidR="009B3D96" w:rsidRPr="009B3D96">
        <w:rPr>
          <w:color w:val="000000"/>
          <w:lang w:val="es-ES_tradnl"/>
        </w:rPr>
        <w:t>.</w:t>
      </w:r>
    </w:p>
    <w:p w:rsidR="00381CDD" w:rsidRDefault="00800B57" w:rsidP="001F447E">
      <w:pPr>
        <w:pStyle w:val="SingleTxtG"/>
        <w:rPr>
          <w:color w:val="000000"/>
          <w:lang w:val="es-ES_tradnl"/>
        </w:rPr>
      </w:pPr>
      <w:r>
        <w:rPr>
          <w:color w:val="000000"/>
          <w:lang w:val="es-ES_tradnl"/>
        </w:rPr>
        <w:t>2.</w:t>
      </w:r>
      <w:r w:rsidR="00C509AA">
        <w:rPr>
          <w:color w:val="000000"/>
          <w:lang w:val="es-ES_tradnl"/>
        </w:rPr>
        <w:t>8</w:t>
      </w:r>
      <w:r>
        <w:rPr>
          <w:color w:val="000000"/>
          <w:lang w:val="es-ES_tradnl"/>
        </w:rPr>
        <w:tab/>
      </w:r>
      <w:r w:rsidR="00BB2469">
        <w:rPr>
          <w:color w:val="000000"/>
          <w:lang w:val="es-ES_tradnl"/>
        </w:rPr>
        <w:t>Entre el 8 y el 14</w:t>
      </w:r>
      <w:r w:rsidR="009B3D96" w:rsidRPr="009B3D96">
        <w:rPr>
          <w:color w:val="000000"/>
          <w:lang w:val="es-ES_tradnl"/>
        </w:rPr>
        <w:t xml:space="preserve"> de enero de 2011, 22 personas </w:t>
      </w:r>
      <w:r w:rsidR="00957D83">
        <w:rPr>
          <w:color w:val="000000"/>
          <w:lang w:val="es-ES_tradnl"/>
        </w:rPr>
        <w:t xml:space="preserve">más </w:t>
      </w:r>
      <w:r w:rsidR="009B3D96" w:rsidRPr="009B3D96">
        <w:rPr>
          <w:color w:val="000000"/>
          <w:lang w:val="es-ES_tradnl"/>
        </w:rPr>
        <w:t>de la comunidad, entre ell</w:t>
      </w:r>
      <w:r w:rsidR="001836E1">
        <w:rPr>
          <w:color w:val="000000"/>
          <w:lang w:val="es-ES_tradnl"/>
        </w:rPr>
        <w:t>a</w:t>
      </w:r>
      <w:r w:rsidR="009B3D96" w:rsidRPr="009B3D96">
        <w:rPr>
          <w:color w:val="000000"/>
          <w:lang w:val="es-ES_tradnl"/>
        </w:rPr>
        <w:t>s los autores</w:t>
      </w:r>
      <w:r w:rsidR="00DD3985">
        <w:rPr>
          <w:color w:val="000000"/>
          <w:lang w:val="es-ES_tradnl"/>
        </w:rPr>
        <w:t xml:space="preserve"> y los dos </w:t>
      </w:r>
      <w:r w:rsidR="00115EA3">
        <w:rPr>
          <w:color w:val="000000"/>
          <w:lang w:val="es-ES_tradnl"/>
        </w:rPr>
        <w:t>niños</w:t>
      </w:r>
      <w:r w:rsidR="009B3D96" w:rsidRPr="009B3D96">
        <w:rPr>
          <w:color w:val="000000"/>
          <w:lang w:val="es-ES_tradnl"/>
        </w:rPr>
        <w:t xml:space="preserve">, </w:t>
      </w:r>
      <w:r w:rsidR="001B2CC3">
        <w:rPr>
          <w:color w:val="000000"/>
          <w:lang w:val="es-ES_tradnl"/>
        </w:rPr>
        <w:t>fueron hospitalizados</w:t>
      </w:r>
      <w:r w:rsidR="009B3D96" w:rsidRPr="009B3D96">
        <w:rPr>
          <w:color w:val="000000"/>
          <w:lang w:val="es-ES_tradnl"/>
        </w:rPr>
        <w:t xml:space="preserve"> tras presentar síntomas similares</w:t>
      </w:r>
      <w:r w:rsidR="00BB2469">
        <w:rPr>
          <w:color w:val="000000"/>
          <w:lang w:val="es-ES_tradnl"/>
        </w:rPr>
        <w:t xml:space="preserve">. </w:t>
      </w:r>
      <w:r w:rsidR="004F39BE">
        <w:rPr>
          <w:color w:val="000000"/>
          <w:lang w:val="es-ES_tradnl"/>
        </w:rPr>
        <w:t>L</w:t>
      </w:r>
      <w:r w:rsidR="004F39BE" w:rsidRPr="004F39BE">
        <w:rPr>
          <w:color w:val="000000"/>
          <w:lang w:val="es-ES_tradnl"/>
        </w:rPr>
        <w:t xml:space="preserve">a directora del Hospital </w:t>
      </w:r>
      <w:r w:rsidR="004F39BE">
        <w:rPr>
          <w:color w:val="000000"/>
          <w:lang w:val="es-ES_tradnl"/>
        </w:rPr>
        <w:t xml:space="preserve">se contactó telefónicamente con varias instituciones, entre las cuales la SEAM y el SENAVE, para informar del cuadro médico presentado por </w:t>
      </w:r>
      <w:r w:rsidR="00820BDA">
        <w:rPr>
          <w:color w:val="000000"/>
          <w:lang w:val="es-ES_tradnl"/>
        </w:rPr>
        <w:t>los autores</w:t>
      </w:r>
      <w:r w:rsidR="00821273">
        <w:rPr>
          <w:color w:val="000000"/>
          <w:lang w:val="es-ES_tradnl"/>
        </w:rPr>
        <w:t xml:space="preserve"> y del fallecimiento del Sr. Portillo Cáceres</w:t>
      </w:r>
      <w:r w:rsidR="004F39BE">
        <w:rPr>
          <w:color w:val="000000"/>
          <w:lang w:val="es-ES_tradnl"/>
        </w:rPr>
        <w:t xml:space="preserve">. </w:t>
      </w:r>
    </w:p>
    <w:p w:rsidR="00EB443B" w:rsidRDefault="00DE7918" w:rsidP="00DE7918">
      <w:pPr>
        <w:pStyle w:val="H4G"/>
        <w:rPr>
          <w:rFonts w:eastAsia="Calibri"/>
          <w:lang w:val="es-ES_tradnl"/>
        </w:rPr>
      </w:pPr>
      <w:r>
        <w:rPr>
          <w:rFonts w:eastAsia="Calibri"/>
          <w:lang w:val="es-ES_tradnl"/>
        </w:rPr>
        <w:tab/>
      </w:r>
      <w:r>
        <w:rPr>
          <w:rFonts w:eastAsia="Calibri"/>
          <w:lang w:val="es-ES_tradnl"/>
        </w:rPr>
        <w:tab/>
      </w:r>
      <w:r w:rsidR="003A2EB5">
        <w:rPr>
          <w:rFonts w:eastAsia="Calibri"/>
          <w:lang w:val="es-ES_tradnl"/>
        </w:rPr>
        <w:t>Recursos internos</w:t>
      </w:r>
      <w:r w:rsidR="005C421E">
        <w:rPr>
          <w:rFonts w:eastAsia="Calibri"/>
          <w:lang w:val="es-ES_tradnl"/>
        </w:rPr>
        <w:t xml:space="preserve"> </w:t>
      </w:r>
      <w:r w:rsidR="00701B0F">
        <w:rPr>
          <w:rFonts w:eastAsia="Calibri"/>
          <w:lang w:val="es-ES_tradnl"/>
        </w:rPr>
        <w:t>iniciados</w:t>
      </w:r>
      <w:r w:rsidR="005C421E">
        <w:rPr>
          <w:rFonts w:eastAsia="Calibri"/>
          <w:lang w:val="es-ES_tradnl"/>
        </w:rPr>
        <w:t xml:space="preserve"> </w:t>
      </w:r>
      <w:r w:rsidR="00701B0F">
        <w:rPr>
          <w:rFonts w:eastAsia="Calibri"/>
          <w:lang w:val="es-ES_tradnl"/>
        </w:rPr>
        <w:t xml:space="preserve">por </w:t>
      </w:r>
      <w:r w:rsidR="005C421E">
        <w:rPr>
          <w:rFonts w:eastAsia="Calibri"/>
          <w:lang w:val="es-ES_tradnl"/>
        </w:rPr>
        <w:t xml:space="preserve">la muerte del Sr. Portillo Cáceres y la intoxicación de </w:t>
      </w:r>
      <w:r w:rsidR="00701B0F">
        <w:rPr>
          <w:rFonts w:eastAsia="Calibri"/>
          <w:lang w:val="es-ES_tradnl"/>
        </w:rPr>
        <w:t>miembros de la Colonia</w:t>
      </w:r>
    </w:p>
    <w:p w:rsidR="00E836D2" w:rsidRPr="00EB443B" w:rsidRDefault="00DE7918" w:rsidP="00DE7918">
      <w:pPr>
        <w:pStyle w:val="H4G"/>
        <w:rPr>
          <w:rFonts w:eastAsia="Calibri"/>
          <w:lang w:val="es-ES_tradnl"/>
        </w:rPr>
      </w:pPr>
      <w:r>
        <w:rPr>
          <w:rFonts w:eastAsia="Calibri"/>
          <w:lang w:val="es-ES_tradnl"/>
        </w:rPr>
        <w:tab/>
      </w:r>
      <w:r>
        <w:rPr>
          <w:rFonts w:eastAsia="Calibri"/>
          <w:lang w:val="es-ES_tradnl"/>
        </w:rPr>
        <w:tab/>
      </w:r>
      <w:r w:rsidR="00E836D2">
        <w:rPr>
          <w:rFonts w:eastAsia="Calibri"/>
          <w:lang w:val="es-ES_tradnl"/>
        </w:rPr>
        <w:t>Denuncia penal</w:t>
      </w:r>
    </w:p>
    <w:p w:rsidR="00647F65" w:rsidRDefault="00867B94" w:rsidP="004E04B7">
      <w:pPr>
        <w:pStyle w:val="SingleTxtG"/>
        <w:rPr>
          <w:rFonts w:eastAsia="Calibri"/>
          <w:lang w:val="es-ES_tradnl"/>
        </w:rPr>
      </w:pPr>
      <w:r>
        <w:rPr>
          <w:rFonts w:eastAsia="Calibri"/>
          <w:lang w:val="es-ES_tradnl"/>
        </w:rPr>
        <w:t>2.</w:t>
      </w:r>
      <w:r w:rsidR="00C509AA">
        <w:rPr>
          <w:rFonts w:eastAsia="Calibri"/>
          <w:lang w:val="es-ES_tradnl"/>
        </w:rPr>
        <w:t>9</w:t>
      </w:r>
      <w:r>
        <w:rPr>
          <w:rFonts w:eastAsia="Calibri"/>
          <w:lang w:val="es-ES_tradnl"/>
        </w:rPr>
        <w:tab/>
      </w:r>
      <w:r w:rsidR="00392A0E">
        <w:rPr>
          <w:rFonts w:eastAsia="Calibri"/>
          <w:lang w:val="es-ES_tradnl"/>
        </w:rPr>
        <w:t>E</w:t>
      </w:r>
      <w:r w:rsidR="00AD6DD3">
        <w:rPr>
          <w:rFonts w:eastAsia="Calibri"/>
          <w:lang w:val="es-ES_tradnl"/>
        </w:rPr>
        <w:t>l</w:t>
      </w:r>
      <w:r w:rsidR="00AD6DD3" w:rsidRPr="00A634B0">
        <w:rPr>
          <w:rFonts w:eastAsia="Calibri"/>
          <w:lang w:val="es-ES_tradnl"/>
        </w:rPr>
        <w:t xml:space="preserve"> 13 de enero de 2011, </w:t>
      </w:r>
      <w:r w:rsidR="00960C4A">
        <w:rPr>
          <w:rFonts w:eastAsia="Calibri"/>
          <w:lang w:val="es-ES_tradnl"/>
        </w:rPr>
        <w:t>los autores</w:t>
      </w:r>
      <w:r w:rsidR="000203F9">
        <w:rPr>
          <w:rFonts w:eastAsia="Calibri"/>
          <w:lang w:val="es-ES_tradnl"/>
        </w:rPr>
        <w:t xml:space="preserve"> </w:t>
      </w:r>
      <w:r w:rsidR="00AA0856">
        <w:rPr>
          <w:rFonts w:eastAsia="Calibri"/>
          <w:lang w:val="es-ES_tradnl"/>
        </w:rPr>
        <w:t>denunciaron</w:t>
      </w:r>
      <w:r w:rsidR="00AD6DD3" w:rsidRPr="00A634B0">
        <w:rPr>
          <w:rFonts w:eastAsia="Calibri"/>
          <w:lang w:val="es-ES_tradnl"/>
        </w:rPr>
        <w:t xml:space="preserve"> </w:t>
      </w:r>
      <w:r w:rsidR="000203F9" w:rsidRPr="00046582">
        <w:rPr>
          <w:rFonts w:eastAsia="Calibri"/>
          <w:lang w:val="es-ES_tradnl"/>
        </w:rPr>
        <w:t xml:space="preserve">ante la Fiscalía del Distrito de Curuguaty </w:t>
      </w:r>
      <w:r w:rsidR="00AD6DD3" w:rsidRPr="00046582">
        <w:rPr>
          <w:rFonts w:eastAsia="Calibri"/>
          <w:lang w:val="es-ES_tradnl"/>
        </w:rPr>
        <w:t xml:space="preserve">el fallecimiento </w:t>
      </w:r>
      <w:r w:rsidR="000203F9" w:rsidRPr="000203F9">
        <w:rPr>
          <w:rFonts w:eastAsia="Calibri"/>
          <w:lang w:val="es-ES_tradnl"/>
        </w:rPr>
        <w:t>del Sr. Portillo Cáceres</w:t>
      </w:r>
      <w:r w:rsidR="000203F9">
        <w:rPr>
          <w:rFonts w:eastAsia="Calibri"/>
          <w:lang w:val="es-ES_tradnl"/>
        </w:rPr>
        <w:t xml:space="preserve"> y las intoxicaciones de las cuales fueron víctimas</w:t>
      </w:r>
      <w:r w:rsidR="00AD6DD3" w:rsidRPr="000203F9">
        <w:rPr>
          <w:rFonts w:eastAsia="Calibri"/>
          <w:lang w:val="es-ES_tradnl"/>
        </w:rPr>
        <w:t>.</w:t>
      </w:r>
      <w:r w:rsidR="00EF3055">
        <w:rPr>
          <w:rFonts w:eastAsia="Calibri"/>
          <w:lang w:val="es-ES_tradnl"/>
        </w:rPr>
        <w:t xml:space="preserve"> </w:t>
      </w:r>
      <w:r w:rsidR="00F82056">
        <w:rPr>
          <w:rFonts w:eastAsia="Calibri"/>
          <w:lang w:val="es-ES_tradnl"/>
        </w:rPr>
        <w:t xml:space="preserve">La Unidad </w:t>
      </w:r>
      <w:r w:rsidR="00AD5B03" w:rsidRPr="00D54135">
        <w:rPr>
          <w:rFonts w:eastAsia="Calibri"/>
          <w:lang w:val="es-ES_tradnl"/>
        </w:rPr>
        <w:t xml:space="preserve">Penal </w:t>
      </w:r>
      <w:r w:rsidR="006B3952">
        <w:rPr>
          <w:rFonts w:eastAsia="Calibri"/>
          <w:lang w:val="es-ES_tradnl"/>
        </w:rPr>
        <w:t>Número</w:t>
      </w:r>
      <w:r w:rsidR="00AD5B03" w:rsidRPr="00D54135">
        <w:rPr>
          <w:rFonts w:eastAsia="Calibri"/>
          <w:lang w:val="es-ES_tradnl"/>
        </w:rPr>
        <w:t xml:space="preserve"> 1 </w:t>
      </w:r>
      <w:r w:rsidR="00F82056">
        <w:rPr>
          <w:rFonts w:eastAsia="Calibri"/>
          <w:lang w:val="es-ES_tradnl"/>
        </w:rPr>
        <w:t>Especializada en Delito</w:t>
      </w:r>
      <w:r w:rsidR="00352AFC">
        <w:rPr>
          <w:rFonts w:eastAsia="Calibri"/>
          <w:lang w:val="es-ES_tradnl"/>
        </w:rPr>
        <w:t>s contra el Medio Ambiente</w:t>
      </w:r>
      <w:r w:rsidR="00CB0200">
        <w:rPr>
          <w:rFonts w:eastAsia="Calibri"/>
          <w:lang w:val="es-ES_tradnl"/>
        </w:rPr>
        <w:t xml:space="preserve"> </w:t>
      </w:r>
      <w:r w:rsidR="00F82056" w:rsidRPr="00F803E2">
        <w:rPr>
          <w:rFonts w:eastAsia="Calibri"/>
          <w:lang w:val="es-ES_tradnl"/>
        </w:rPr>
        <w:t>notificó al Juzgado Penal la apertura</w:t>
      </w:r>
      <w:r w:rsidR="00AD5B03">
        <w:rPr>
          <w:rFonts w:eastAsia="Calibri"/>
          <w:lang w:val="es-ES_tradnl"/>
        </w:rPr>
        <w:t xml:space="preserve"> de</w:t>
      </w:r>
      <w:r w:rsidR="00D54135">
        <w:rPr>
          <w:rFonts w:eastAsia="Calibri"/>
          <w:lang w:val="es-ES_tradnl"/>
        </w:rPr>
        <w:t xml:space="preserve"> la carpeta</w:t>
      </w:r>
      <w:r w:rsidR="00D54135" w:rsidRPr="00D54135">
        <w:rPr>
          <w:rFonts w:eastAsia="Calibri"/>
          <w:lang w:val="es-ES_tradnl"/>
        </w:rPr>
        <w:t xml:space="preserve"> penal n</w:t>
      </w:r>
      <w:r w:rsidR="00F02B94">
        <w:rPr>
          <w:rFonts w:eastAsia="Calibri"/>
          <w:lang w:val="es-ES_tradnl"/>
        </w:rPr>
        <w:t>úmero</w:t>
      </w:r>
      <w:r w:rsidR="00D54135" w:rsidRPr="00D54135">
        <w:rPr>
          <w:rFonts w:eastAsia="Calibri"/>
          <w:lang w:val="es-ES_tradnl"/>
        </w:rPr>
        <w:t xml:space="preserve"> 60/2011, </w:t>
      </w:r>
      <w:r w:rsidR="00B259D3">
        <w:rPr>
          <w:rFonts w:eastAsia="Calibri"/>
          <w:lang w:val="es-ES_tradnl"/>
        </w:rPr>
        <w:lastRenderedPageBreak/>
        <w:t>caratulada</w:t>
      </w:r>
      <w:r w:rsidR="00AD5B03">
        <w:rPr>
          <w:rFonts w:eastAsia="Calibri"/>
          <w:lang w:val="es-ES_tradnl"/>
        </w:rPr>
        <w:t xml:space="preserve"> “[a]</w:t>
      </w:r>
      <w:proofErr w:type="spellStart"/>
      <w:r w:rsidR="00D54135">
        <w:rPr>
          <w:rFonts w:eastAsia="Calibri"/>
          <w:lang w:val="es-ES_tradnl"/>
        </w:rPr>
        <w:t>veriguación</w:t>
      </w:r>
      <w:proofErr w:type="spellEnd"/>
      <w:r w:rsidR="00D54135">
        <w:rPr>
          <w:rFonts w:eastAsia="Calibri"/>
          <w:lang w:val="es-ES_tradnl"/>
        </w:rPr>
        <w:t xml:space="preserve"> sobre supuesto hecho punible de transgresión de las normas ambientales </w:t>
      </w:r>
      <w:r w:rsidR="005C785E">
        <w:rPr>
          <w:rFonts w:eastAsia="Calibri"/>
          <w:lang w:val="es-ES_tradnl"/>
        </w:rPr>
        <w:t>e i</w:t>
      </w:r>
      <w:r w:rsidR="00D54135">
        <w:rPr>
          <w:rFonts w:eastAsia="Calibri"/>
          <w:lang w:val="es-ES_tradnl"/>
        </w:rPr>
        <w:t xml:space="preserve">ntoxicación”. </w:t>
      </w:r>
    </w:p>
    <w:p w:rsidR="00EB443B" w:rsidRPr="0014091B" w:rsidRDefault="00647F65" w:rsidP="004E04B7">
      <w:pPr>
        <w:pStyle w:val="SingleTxtG"/>
        <w:rPr>
          <w:rFonts w:eastAsia="Calibri"/>
          <w:lang w:val="es-ES_tradnl"/>
        </w:rPr>
      </w:pPr>
      <w:r>
        <w:rPr>
          <w:rFonts w:eastAsia="Calibri"/>
          <w:lang w:val="es-ES_tradnl"/>
        </w:rPr>
        <w:t>2.</w:t>
      </w:r>
      <w:r w:rsidR="00B605DC">
        <w:rPr>
          <w:rFonts w:eastAsia="Calibri"/>
          <w:lang w:val="es-ES_tradnl"/>
        </w:rPr>
        <w:t>10</w:t>
      </w:r>
      <w:r>
        <w:rPr>
          <w:rFonts w:eastAsia="Calibri"/>
          <w:lang w:val="es-ES_tradnl"/>
        </w:rPr>
        <w:tab/>
      </w:r>
      <w:r w:rsidR="00A1649C">
        <w:rPr>
          <w:rFonts w:eastAsia="Calibri"/>
          <w:lang w:val="es-ES_tradnl"/>
        </w:rPr>
        <w:t>Ese</w:t>
      </w:r>
      <w:r w:rsidR="00555CB7">
        <w:rPr>
          <w:rFonts w:eastAsia="Calibri"/>
          <w:lang w:val="es-ES_tradnl"/>
        </w:rPr>
        <w:t xml:space="preserve"> mismo día, l</w:t>
      </w:r>
      <w:r w:rsidR="00392A0E">
        <w:rPr>
          <w:rFonts w:eastAsia="Calibri"/>
          <w:lang w:val="es-ES_tradnl"/>
        </w:rPr>
        <w:t>a Fiscalía ofició a la Comisaría</w:t>
      </w:r>
      <w:r w:rsidR="00FA048D">
        <w:rPr>
          <w:rFonts w:eastAsia="Calibri"/>
          <w:lang w:val="es-ES_tradnl"/>
        </w:rPr>
        <w:t xml:space="preserve"> de Curuguaty y a la </w:t>
      </w:r>
      <w:r w:rsidR="00392A0E">
        <w:rPr>
          <w:rFonts w:eastAsia="Calibri"/>
          <w:lang w:val="es-ES_tradnl"/>
        </w:rPr>
        <w:t>S</w:t>
      </w:r>
      <w:r w:rsidR="00031DA2">
        <w:rPr>
          <w:rFonts w:eastAsia="Calibri"/>
          <w:lang w:val="es-ES_tradnl"/>
        </w:rPr>
        <w:t>ubcomisaria</w:t>
      </w:r>
      <w:r w:rsidR="00FA048D">
        <w:rPr>
          <w:rFonts w:eastAsia="Calibri"/>
          <w:lang w:val="es-ES_tradnl"/>
        </w:rPr>
        <w:t xml:space="preserve"> de </w:t>
      </w:r>
      <w:r w:rsidR="00A1649C">
        <w:rPr>
          <w:rFonts w:eastAsia="Calibri"/>
          <w:lang w:val="es-ES_tradnl"/>
        </w:rPr>
        <w:t>Campo</w:t>
      </w:r>
      <w:r w:rsidR="00FA048D">
        <w:rPr>
          <w:rFonts w:eastAsia="Calibri"/>
          <w:lang w:val="es-ES_tradnl"/>
        </w:rPr>
        <w:t xml:space="preserve"> </w:t>
      </w:r>
      <w:proofErr w:type="spellStart"/>
      <w:r w:rsidR="00FA048D">
        <w:rPr>
          <w:rFonts w:eastAsia="Calibri"/>
          <w:lang w:val="es-ES_tradnl"/>
        </w:rPr>
        <w:t>Agua’e</w:t>
      </w:r>
      <w:proofErr w:type="spellEnd"/>
      <w:r w:rsidR="00FA048D">
        <w:rPr>
          <w:rFonts w:eastAsia="Calibri"/>
          <w:lang w:val="es-ES_tradnl"/>
        </w:rPr>
        <w:t xml:space="preserve"> para que investiguen los </w:t>
      </w:r>
      <w:r w:rsidR="004D07A3">
        <w:rPr>
          <w:rFonts w:eastAsia="Calibri"/>
          <w:lang w:val="es-ES_tradnl"/>
        </w:rPr>
        <w:t>propietarios</w:t>
      </w:r>
      <w:r w:rsidR="00FA048D">
        <w:rPr>
          <w:rFonts w:eastAsia="Calibri"/>
          <w:lang w:val="es-ES_tradnl"/>
        </w:rPr>
        <w:t xml:space="preserve"> de </w:t>
      </w:r>
      <w:r w:rsidR="004D07A3">
        <w:rPr>
          <w:rFonts w:eastAsia="Calibri"/>
          <w:lang w:val="es-ES_tradnl"/>
        </w:rPr>
        <w:t xml:space="preserve">haciendas que </w:t>
      </w:r>
      <w:r w:rsidR="00960C4A">
        <w:rPr>
          <w:rFonts w:eastAsia="Calibri"/>
          <w:lang w:val="es-ES_tradnl"/>
        </w:rPr>
        <w:t xml:space="preserve">cultivan soja alrededor de </w:t>
      </w:r>
      <w:r w:rsidR="004D07A3">
        <w:rPr>
          <w:rFonts w:eastAsia="Calibri"/>
          <w:lang w:val="es-ES_tradnl"/>
        </w:rPr>
        <w:t>la Colonia</w:t>
      </w:r>
      <w:r w:rsidR="00FA048D">
        <w:rPr>
          <w:rFonts w:eastAsia="Calibri"/>
          <w:lang w:val="es-ES_tradnl"/>
        </w:rPr>
        <w:t xml:space="preserve">. </w:t>
      </w:r>
      <w:r w:rsidR="00A1649C">
        <w:rPr>
          <w:rFonts w:eastAsia="Calibri"/>
          <w:lang w:val="es-ES_tradnl"/>
        </w:rPr>
        <w:t>La</w:t>
      </w:r>
      <w:r w:rsidR="00A1649C" w:rsidRPr="00A1649C">
        <w:rPr>
          <w:lang w:val="es-ES"/>
        </w:rPr>
        <w:t xml:space="preserve"> </w:t>
      </w:r>
      <w:r w:rsidR="00A1649C" w:rsidRPr="00A1649C">
        <w:rPr>
          <w:rFonts w:eastAsia="Calibri"/>
          <w:lang w:val="es-ES_tradnl"/>
        </w:rPr>
        <w:t xml:space="preserve">subcomisaria </w:t>
      </w:r>
      <w:r w:rsidR="00A1649C">
        <w:rPr>
          <w:rFonts w:eastAsia="Calibri"/>
          <w:lang w:val="es-ES_tradnl"/>
        </w:rPr>
        <w:t>de Campo</w:t>
      </w:r>
      <w:r w:rsidR="0014091B" w:rsidRPr="0014091B">
        <w:rPr>
          <w:rFonts w:eastAsia="Calibri"/>
          <w:lang w:val="es-ES_tradnl"/>
        </w:rPr>
        <w:t xml:space="preserve"> </w:t>
      </w:r>
      <w:proofErr w:type="spellStart"/>
      <w:r w:rsidR="0014091B" w:rsidRPr="0014091B">
        <w:rPr>
          <w:rFonts w:eastAsia="Calibri"/>
          <w:lang w:val="es-ES_tradnl"/>
        </w:rPr>
        <w:t>Agua’e</w:t>
      </w:r>
      <w:proofErr w:type="spellEnd"/>
      <w:r w:rsidR="0014091B">
        <w:rPr>
          <w:rFonts w:eastAsia="Calibri"/>
          <w:lang w:val="es-ES_tradnl"/>
        </w:rPr>
        <w:t xml:space="preserve"> informó de</w:t>
      </w:r>
      <w:r w:rsidR="00E2706E">
        <w:rPr>
          <w:rFonts w:eastAsia="Calibri"/>
          <w:lang w:val="es-ES_tradnl"/>
        </w:rPr>
        <w:t xml:space="preserve"> los nombres de varios propietarios y arrendatarios que cultivan </w:t>
      </w:r>
      <w:r w:rsidR="00733D6C">
        <w:rPr>
          <w:rFonts w:eastAsia="Calibri"/>
          <w:lang w:val="es-ES_tradnl"/>
        </w:rPr>
        <w:t xml:space="preserve">entre 17 y 170 hectáreas de </w:t>
      </w:r>
      <w:r w:rsidR="00A1649C">
        <w:rPr>
          <w:rFonts w:eastAsia="Calibri"/>
          <w:lang w:val="es-ES_tradnl"/>
        </w:rPr>
        <w:t>soja en el interior de la Colonia</w:t>
      </w:r>
      <w:r w:rsidR="00E2706E">
        <w:rPr>
          <w:rFonts w:eastAsia="Calibri"/>
          <w:lang w:val="es-ES_tradnl"/>
        </w:rPr>
        <w:t>.</w:t>
      </w:r>
    </w:p>
    <w:p w:rsidR="007E5D0F" w:rsidRPr="00A634B0" w:rsidRDefault="00647F65" w:rsidP="008B22F1">
      <w:pPr>
        <w:spacing w:after="120"/>
        <w:ind w:left="1134" w:right="1134"/>
        <w:jc w:val="both"/>
        <w:rPr>
          <w:rFonts w:eastAsia="Calibri"/>
          <w:lang w:val="es-ES_tradnl"/>
        </w:rPr>
      </w:pPr>
      <w:r>
        <w:rPr>
          <w:rFonts w:eastAsia="Calibri"/>
          <w:lang w:val="es-ES_tradnl"/>
        </w:rPr>
        <w:t>2.</w:t>
      </w:r>
      <w:r w:rsidR="00115EA3">
        <w:rPr>
          <w:rFonts w:eastAsia="Calibri"/>
          <w:lang w:val="es-ES_tradnl"/>
        </w:rPr>
        <w:t>1</w:t>
      </w:r>
      <w:r w:rsidR="00B605DC">
        <w:rPr>
          <w:rFonts w:eastAsia="Calibri"/>
          <w:lang w:val="es-ES_tradnl"/>
        </w:rPr>
        <w:t>1</w:t>
      </w:r>
      <w:r w:rsidR="006D5DA3">
        <w:rPr>
          <w:rFonts w:eastAsia="Calibri"/>
          <w:lang w:val="es-ES_tradnl"/>
        </w:rPr>
        <w:tab/>
      </w:r>
      <w:r w:rsidR="00402EBD">
        <w:rPr>
          <w:rFonts w:eastAsia="Calibri"/>
          <w:lang w:val="es-ES_tradnl"/>
        </w:rPr>
        <w:t>Ese mismo día</w:t>
      </w:r>
      <w:r w:rsidR="002D27D8">
        <w:rPr>
          <w:rFonts w:eastAsia="Calibri"/>
          <w:lang w:val="es-ES_tradnl"/>
        </w:rPr>
        <w:t xml:space="preserve"> </w:t>
      </w:r>
      <w:r>
        <w:rPr>
          <w:rFonts w:eastAsia="Calibri"/>
          <w:lang w:val="es-ES_tradnl"/>
        </w:rPr>
        <w:t xml:space="preserve">también, </w:t>
      </w:r>
      <w:r w:rsidR="00C82752">
        <w:rPr>
          <w:rFonts w:eastAsia="Calibri"/>
          <w:lang w:val="es-ES_tradnl"/>
        </w:rPr>
        <w:t>técnicos de la</w:t>
      </w:r>
      <w:r w:rsidR="00C82752" w:rsidRPr="006C0D02">
        <w:rPr>
          <w:lang w:val="es-ES"/>
        </w:rPr>
        <w:t xml:space="preserve"> </w:t>
      </w:r>
      <w:r w:rsidR="00C82752" w:rsidRPr="006C0D02">
        <w:rPr>
          <w:rFonts w:eastAsia="Calibri"/>
          <w:lang w:val="es-ES_tradnl"/>
        </w:rPr>
        <w:t xml:space="preserve">Unidad Especializada en Delitos contra el Medio Ambiente </w:t>
      </w:r>
      <w:r w:rsidR="00C82752">
        <w:rPr>
          <w:rFonts w:eastAsia="Calibri"/>
          <w:lang w:val="es-ES_tradnl"/>
        </w:rPr>
        <w:t xml:space="preserve">realizaron, juntos a </w:t>
      </w:r>
      <w:r w:rsidR="006C0D02">
        <w:rPr>
          <w:rFonts w:eastAsia="Calibri"/>
          <w:lang w:val="es-ES_tradnl"/>
        </w:rPr>
        <w:t>técnicos del</w:t>
      </w:r>
      <w:r w:rsidR="008B22F1">
        <w:rPr>
          <w:rFonts w:eastAsia="Calibri"/>
          <w:lang w:val="es-ES_tradnl"/>
        </w:rPr>
        <w:t xml:space="preserve"> </w:t>
      </w:r>
      <w:r w:rsidR="006D5DA3">
        <w:rPr>
          <w:rFonts w:eastAsia="Calibri"/>
          <w:lang w:val="es-ES_tradnl"/>
        </w:rPr>
        <w:t>SENAVE</w:t>
      </w:r>
      <w:r w:rsidR="00C82752">
        <w:rPr>
          <w:rFonts w:eastAsia="Calibri"/>
          <w:lang w:val="es-ES_tradnl"/>
        </w:rPr>
        <w:t>,</w:t>
      </w:r>
      <w:r w:rsidR="006C0D02">
        <w:rPr>
          <w:rFonts w:eastAsia="Calibri"/>
          <w:lang w:val="es-ES_tradnl"/>
        </w:rPr>
        <w:t xml:space="preserve"> </w:t>
      </w:r>
      <w:r w:rsidR="006D5DA3">
        <w:rPr>
          <w:rFonts w:eastAsia="Calibri"/>
          <w:lang w:val="es-ES_tradnl"/>
        </w:rPr>
        <w:t>u</w:t>
      </w:r>
      <w:r w:rsidR="00502151" w:rsidRPr="005A5680">
        <w:rPr>
          <w:rFonts w:eastAsia="Calibri"/>
          <w:lang w:val="es-ES_tradnl"/>
        </w:rPr>
        <w:t xml:space="preserve">na </w:t>
      </w:r>
      <w:r w:rsidR="00502151" w:rsidRPr="006D5DA3">
        <w:rPr>
          <w:rFonts w:eastAsia="Calibri"/>
          <w:lang w:val="es-ES_tradnl"/>
        </w:rPr>
        <w:t xml:space="preserve">inspección </w:t>
      </w:r>
      <w:r w:rsidR="008B22F1">
        <w:rPr>
          <w:rFonts w:eastAsia="Calibri"/>
          <w:lang w:val="es-ES_tradnl"/>
        </w:rPr>
        <w:t>en la Colonia</w:t>
      </w:r>
      <w:r w:rsidR="00502151" w:rsidRPr="006D5DA3">
        <w:rPr>
          <w:rFonts w:eastAsia="Calibri"/>
          <w:lang w:val="es-ES_tradnl"/>
        </w:rPr>
        <w:t xml:space="preserve"> </w:t>
      </w:r>
      <w:r w:rsidR="008B22F1">
        <w:rPr>
          <w:rFonts w:eastAsia="Calibri"/>
          <w:lang w:val="es-ES_tradnl"/>
        </w:rPr>
        <w:t>en la que</w:t>
      </w:r>
      <w:r w:rsidR="006C0D02">
        <w:rPr>
          <w:rFonts w:eastAsia="Calibri"/>
          <w:lang w:val="es-ES_tradnl"/>
        </w:rPr>
        <w:t xml:space="preserve"> tomaron muestras del</w:t>
      </w:r>
      <w:r w:rsidR="00502151" w:rsidRPr="006D5DA3">
        <w:rPr>
          <w:rFonts w:eastAsia="Calibri"/>
          <w:lang w:val="es-ES_tradnl"/>
        </w:rPr>
        <w:t xml:space="preserve"> </w:t>
      </w:r>
      <w:r w:rsidR="006C0D02" w:rsidRPr="006D5DA3">
        <w:rPr>
          <w:rFonts w:eastAsia="Calibri"/>
          <w:lang w:val="es-ES_tradnl"/>
        </w:rPr>
        <w:t xml:space="preserve">agua del pozo de uso doméstico de la vivienda </w:t>
      </w:r>
      <w:r w:rsidR="00402EBD">
        <w:rPr>
          <w:rFonts w:eastAsia="Calibri"/>
          <w:lang w:val="es-ES_tradnl"/>
        </w:rPr>
        <w:t>de los autores</w:t>
      </w:r>
      <w:r w:rsidR="00C82752">
        <w:rPr>
          <w:rFonts w:eastAsia="Calibri"/>
          <w:lang w:val="es-ES_tradnl"/>
        </w:rPr>
        <w:t>. Los resultaron</w:t>
      </w:r>
      <w:r w:rsidR="00A86E57">
        <w:rPr>
          <w:rFonts w:eastAsia="Calibri"/>
          <w:lang w:val="es-ES_tradnl"/>
        </w:rPr>
        <w:t xml:space="preserve"> </w:t>
      </w:r>
      <w:r w:rsidR="00C82752">
        <w:rPr>
          <w:rFonts w:eastAsia="Calibri"/>
          <w:lang w:val="es-ES_tradnl"/>
        </w:rPr>
        <w:t>arrojaron</w:t>
      </w:r>
      <w:r w:rsidR="00502151" w:rsidRPr="006D5DA3">
        <w:rPr>
          <w:rFonts w:eastAsia="Calibri"/>
          <w:lang w:val="es-ES_tradnl"/>
        </w:rPr>
        <w:t xml:space="preserve"> </w:t>
      </w:r>
      <w:r w:rsidR="00166BBE">
        <w:rPr>
          <w:rFonts w:eastAsia="Calibri"/>
          <w:lang w:val="es-ES_tradnl"/>
        </w:rPr>
        <w:t xml:space="preserve">la presencia </w:t>
      </w:r>
      <w:r w:rsidR="00804508">
        <w:rPr>
          <w:rFonts w:eastAsia="Calibri"/>
          <w:lang w:val="es-ES_tradnl"/>
        </w:rPr>
        <w:t>de</w:t>
      </w:r>
      <w:r w:rsidR="00804508" w:rsidRPr="006D5DA3">
        <w:rPr>
          <w:rFonts w:eastAsia="Calibri"/>
          <w:lang w:val="es-ES_tradnl"/>
        </w:rPr>
        <w:t xml:space="preserve"> agroquímicos </w:t>
      </w:r>
      <w:r w:rsidR="00804508" w:rsidRPr="006C0D02">
        <w:rPr>
          <w:rFonts w:eastAsia="Calibri"/>
          <w:lang w:val="es-ES_tradnl"/>
        </w:rPr>
        <w:t>prohibidos</w:t>
      </w:r>
      <w:r w:rsidR="00336CCE">
        <w:rPr>
          <w:rFonts w:eastAsia="Calibri"/>
          <w:lang w:val="es-ES_tradnl"/>
        </w:rPr>
        <w:t>.</w:t>
      </w:r>
      <w:r w:rsidR="006D5DA3">
        <w:rPr>
          <w:rStyle w:val="FootnoteReference"/>
          <w:rFonts w:eastAsia="Calibri"/>
          <w:lang w:val="es-ES_tradnl"/>
        </w:rPr>
        <w:footnoteReference w:id="9"/>
      </w:r>
      <w:r w:rsidR="00C47CE0">
        <w:rPr>
          <w:rFonts w:eastAsia="Calibri"/>
          <w:lang w:val="es-ES_tradnl"/>
        </w:rPr>
        <w:t xml:space="preserve"> </w:t>
      </w:r>
    </w:p>
    <w:p w:rsidR="001E595A" w:rsidRDefault="00681B77" w:rsidP="009726D4">
      <w:pPr>
        <w:spacing w:after="120"/>
        <w:ind w:left="1134" w:right="1134"/>
        <w:jc w:val="both"/>
        <w:rPr>
          <w:rFonts w:eastAsia="Calibri"/>
          <w:lang w:val="es-ES_tradnl"/>
        </w:rPr>
      </w:pPr>
      <w:r>
        <w:rPr>
          <w:rFonts w:eastAsia="Calibri"/>
          <w:lang w:val="es-ES_tradnl"/>
        </w:rPr>
        <w:t>2.</w:t>
      </w:r>
      <w:r w:rsidR="00115EA3">
        <w:rPr>
          <w:rFonts w:eastAsia="Calibri"/>
          <w:lang w:val="es-ES_tradnl"/>
        </w:rPr>
        <w:t>1</w:t>
      </w:r>
      <w:r w:rsidR="00B605DC">
        <w:rPr>
          <w:rFonts w:eastAsia="Calibri"/>
          <w:lang w:val="es-ES_tradnl"/>
        </w:rPr>
        <w:t>2</w:t>
      </w:r>
      <w:r w:rsidR="00046582" w:rsidRPr="00046582">
        <w:rPr>
          <w:rFonts w:eastAsia="Calibri"/>
          <w:lang w:val="es-ES_tradnl"/>
        </w:rPr>
        <w:t xml:space="preserve"> </w:t>
      </w:r>
      <w:r w:rsidR="009726D4">
        <w:rPr>
          <w:rFonts w:eastAsia="Calibri"/>
          <w:lang w:val="es-ES_tradnl"/>
        </w:rPr>
        <w:t xml:space="preserve">El 14 de enero de 2011, la SEAM inspeccionó dos </w:t>
      </w:r>
      <w:r w:rsidR="000B7CAC">
        <w:rPr>
          <w:rFonts w:eastAsia="Calibri"/>
          <w:lang w:val="es-ES_tradnl"/>
        </w:rPr>
        <w:t>empresas</w:t>
      </w:r>
      <w:r w:rsidR="009726D4">
        <w:rPr>
          <w:rFonts w:eastAsia="Calibri"/>
          <w:lang w:val="es-ES_tradnl"/>
        </w:rPr>
        <w:t xml:space="preserve"> de cultivo de soja colindantes con las fincas de los autores,</w:t>
      </w:r>
      <w:r w:rsidR="00B11186">
        <w:rPr>
          <w:rFonts w:eastAsia="Calibri"/>
          <w:lang w:val="es-ES_tradnl"/>
        </w:rPr>
        <w:t xml:space="preserve"> en el exterior de la Colonia,</w:t>
      </w:r>
      <w:r w:rsidR="009726D4">
        <w:rPr>
          <w:rStyle w:val="FootnoteReference"/>
          <w:rFonts w:eastAsia="Calibri"/>
          <w:lang w:val="es-ES_tradnl"/>
        </w:rPr>
        <w:footnoteReference w:id="10"/>
      </w:r>
      <w:r w:rsidR="009726D4">
        <w:rPr>
          <w:rFonts w:eastAsia="Calibri"/>
          <w:lang w:val="es-ES_tradnl"/>
        </w:rPr>
        <w:t xml:space="preserve"> en la</w:t>
      </w:r>
      <w:r w:rsidR="00DC33ED">
        <w:rPr>
          <w:rFonts w:eastAsia="Calibri"/>
          <w:lang w:val="es-ES_tradnl"/>
        </w:rPr>
        <w:t>s</w:t>
      </w:r>
      <w:r w:rsidR="009726D4">
        <w:rPr>
          <w:rFonts w:eastAsia="Calibri"/>
          <w:lang w:val="es-ES_tradnl"/>
        </w:rPr>
        <w:t xml:space="preserve"> que comprobó que no </w:t>
      </w:r>
      <w:r w:rsidR="00296F21">
        <w:rPr>
          <w:rFonts w:eastAsia="Calibri"/>
          <w:lang w:val="es-ES_tradnl"/>
        </w:rPr>
        <w:t xml:space="preserve">contaban con la </w:t>
      </w:r>
      <w:r w:rsidR="009726D4">
        <w:rPr>
          <w:rFonts w:eastAsia="Calibri"/>
          <w:lang w:val="es-ES_tradnl"/>
        </w:rPr>
        <w:t xml:space="preserve">franja </w:t>
      </w:r>
      <w:r w:rsidR="00296F21">
        <w:rPr>
          <w:rFonts w:eastAsia="Calibri"/>
          <w:lang w:val="es-ES_tradnl"/>
        </w:rPr>
        <w:t>reglamentaria</w:t>
      </w:r>
      <w:r w:rsidR="009726D4">
        <w:rPr>
          <w:rFonts w:eastAsia="Calibri"/>
          <w:lang w:val="es-ES_tradnl"/>
        </w:rPr>
        <w:t xml:space="preserve"> </w:t>
      </w:r>
      <w:r w:rsidR="00DC33ED">
        <w:rPr>
          <w:rFonts w:eastAsia="Calibri"/>
          <w:lang w:val="es-ES_tradnl"/>
        </w:rPr>
        <w:t>ni</w:t>
      </w:r>
      <w:r w:rsidR="009726D4">
        <w:rPr>
          <w:rFonts w:eastAsia="Calibri"/>
          <w:lang w:val="es-ES_tradnl"/>
        </w:rPr>
        <w:t xml:space="preserve"> con licencia </w:t>
      </w:r>
      <w:r w:rsidR="009726D4" w:rsidRPr="00A634B0">
        <w:rPr>
          <w:rFonts w:eastAsia="Calibri"/>
          <w:lang w:val="es-ES_tradnl"/>
        </w:rPr>
        <w:t>ambiental</w:t>
      </w:r>
      <w:r w:rsidR="00F343ED">
        <w:rPr>
          <w:rFonts w:eastAsia="Calibri"/>
          <w:lang w:val="es-ES_tradnl"/>
        </w:rPr>
        <w:t>,</w:t>
      </w:r>
      <w:r w:rsidR="009726D4" w:rsidRPr="00A634B0">
        <w:rPr>
          <w:rFonts w:eastAsia="Calibri"/>
          <w:lang w:val="es-ES_tradnl"/>
        </w:rPr>
        <w:t xml:space="preserve"> y que aplicaban agro-tóxicos sin receta agroquímica y sin contar con un asesor técnico.</w:t>
      </w:r>
      <w:r w:rsidR="009726D4">
        <w:rPr>
          <w:rStyle w:val="FootnoteReference"/>
          <w:rFonts w:eastAsia="Calibri"/>
          <w:lang w:val="es-ES_tradnl"/>
        </w:rPr>
        <w:footnoteReference w:id="11"/>
      </w:r>
    </w:p>
    <w:p w:rsidR="008201CA" w:rsidRDefault="004151D9" w:rsidP="004C219A">
      <w:pPr>
        <w:pStyle w:val="SingleTxtG"/>
        <w:rPr>
          <w:rFonts w:eastAsia="Calibri"/>
          <w:lang w:val="es-ES_tradnl"/>
        </w:rPr>
      </w:pPr>
      <w:r>
        <w:rPr>
          <w:rFonts w:eastAsia="Calibri"/>
          <w:lang w:val="es-ES_tradnl"/>
        </w:rPr>
        <w:t>2.1</w:t>
      </w:r>
      <w:r w:rsidR="00B605DC">
        <w:rPr>
          <w:rFonts w:eastAsia="Calibri"/>
          <w:lang w:val="es-ES_tradnl"/>
        </w:rPr>
        <w:t>3</w:t>
      </w:r>
      <w:r w:rsidR="00A00D3A">
        <w:rPr>
          <w:rFonts w:eastAsia="Calibri"/>
          <w:lang w:val="es-ES_tradnl"/>
        </w:rPr>
        <w:tab/>
      </w:r>
      <w:r w:rsidR="00F10F08">
        <w:rPr>
          <w:rFonts w:eastAsia="Calibri"/>
          <w:lang w:val="es-ES_tradnl"/>
        </w:rPr>
        <w:t xml:space="preserve">El 14 de marzo de 2011, </w:t>
      </w:r>
      <w:r w:rsidR="003B6EE6">
        <w:rPr>
          <w:rFonts w:eastAsia="Calibri"/>
          <w:lang w:val="es-ES_tradnl"/>
        </w:rPr>
        <w:t>en el marco</w:t>
      </w:r>
      <w:r w:rsidR="003B6EE6" w:rsidRPr="000D7494">
        <w:rPr>
          <w:lang w:val="es-ES"/>
        </w:rPr>
        <w:t xml:space="preserve"> </w:t>
      </w:r>
      <w:r w:rsidR="003B6EE6" w:rsidRPr="003B6EE6">
        <w:rPr>
          <w:rFonts w:eastAsia="Calibri"/>
          <w:lang w:val="es-ES_tradnl"/>
        </w:rPr>
        <w:t>de la carpeta penal número 60/2011</w:t>
      </w:r>
      <w:r w:rsidR="003B6EE6">
        <w:rPr>
          <w:rFonts w:eastAsia="Calibri"/>
          <w:lang w:val="es-ES_tradnl"/>
        </w:rPr>
        <w:t xml:space="preserve">, </w:t>
      </w:r>
      <w:r w:rsidR="00F10F08">
        <w:rPr>
          <w:rFonts w:eastAsia="Calibri"/>
          <w:lang w:val="es-ES_tradnl"/>
        </w:rPr>
        <w:t xml:space="preserve">el Ministerio </w:t>
      </w:r>
      <w:r w:rsidR="00665774">
        <w:rPr>
          <w:rFonts w:eastAsia="Calibri"/>
          <w:lang w:val="es-ES_tradnl"/>
        </w:rPr>
        <w:t>Público</w:t>
      </w:r>
      <w:r w:rsidR="00CB0200">
        <w:rPr>
          <w:rFonts w:eastAsia="Calibri"/>
          <w:lang w:val="es-ES_tradnl"/>
        </w:rPr>
        <w:t xml:space="preserve"> </w:t>
      </w:r>
      <w:r w:rsidR="00115EA3">
        <w:rPr>
          <w:rFonts w:eastAsia="Calibri"/>
          <w:lang w:val="es-ES_tradnl"/>
        </w:rPr>
        <w:t xml:space="preserve">imputó </w:t>
      </w:r>
      <w:r w:rsidR="00CF7078">
        <w:rPr>
          <w:rFonts w:eastAsia="Calibri"/>
          <w:lang w:val="es-ES_tradnl"/>
        </w:rPr>
        <w:t>siete</w:t>
      </w:r>
      <w:r w:rsidR="00A00D3A">
        <w:rPr>
          <w:rFonts w:eastAsia="Calibri"/>
          <w:lang w:val="es-ES_tradnl"/>
        </w:rPr>
        <w:t xml:space="preserve"> ciudadanos </w:t>
      </w:r>
      <w:r w:rsidR="004575BD">
        <w:rPr>
          <w:rFonts w:eastAsia="Calibri"/>
          <w:lang w:val="es-ES_tradnl"/>
        </w:rPr>
        <w:t>residentes en la Colonia</w:t>
      </w:r>
      <w:r w:rsidR="00F44549">
        <w:rPr>
          <w:rFonts w:eastAsia="Calibri"/>
          <w:lang w:val="es-ES_tradnl"/>
        </w:rPr>
        <w:t xml:space="preserve">, </w:t>
      </w:r>
      <w:r w:rsidR="00DA1CA2">
        <w:rPr>
          <w:rFonts w:eastAsia="Calibri"/>
          <w:lang w:val="es-ES_tradnl"/>
        </w:rPr>
        <w:t xml:space="preserve">por supuesto hecho punible de infracción a </w:t>
      </w:r>
      <w:r w:rsidR="001B3B38">
        <w:rPr>
          <w:rFonts w:eastAsia="Calibri"/>
          <w:lang w:val="es-ES_tradnl"/>
        </w:rPr>
        <w:t>la normativa ambiental</w:t>
      </w:r>
      <w:r w:rsidR="000419FF">
        <w:rPr>
          <w:rFonts w:eastAsia="Calibri"/>
          <w:lang w:val="es-ES_tradnl"/>
        </w:rPr>
        <w:t xml:space="preserve">. </w:t>
      </w:r>
    </w:p>
    <w:p w:rsidR="00E76A28" w:rsidRDefault="008201CA" w:rsidP="004C219A">
      <w:pPr>
        <w:pStyle w:val="SingleTxtG"/>
        <w:rPr>
          <w:rFonts w:eastAsia="Calibri"/>
          <w:lang w:val="es-ES_tradnl"/>
        </w:rPr>
      </w:pPr>
      <w:r>
        <w:rPr>
          <w:rFonts w:eastAsia="Calibri"/>
          <w:lang w:val="es-ES_tradnl"/>
        </w:rPr>
        <w:t>2.</w:t>
      </w:r>
      <w:r w:rsidR="00115EA3">
        <w:rPr>
          <w:rFonts w:eastAsia="Calibri"/>
          <w:lang w:val="es-ES_tradnl"/>
        </w:rPr>
        <w:t>1</w:t>
      </w:r>
      <w:r w:rsidR="00B605DC">
        <w:rPr>
          <w:rFonts w:eastAsia="Calibri"/>
          <w:lang w:val="es-ES_tradnl"/>
        </w:rPr>
        <w:t>4</w:t>
      </w:r>
      <w:r>
        <w:rPr>
          <w:rFonts w:eastAsia="Calibri"/>
          <w:lang w:val="es-ES_tradnl"/>
        </w:rPr>
        <w:tab/>
      </w:r>
      <w:r w:rsidR="00E20095">
        <w:rPr>
          <w:rFonts w:eastAsia="Calibri"/>
          <w:lang w:val="es-ES_tradnl"/>
        </w:rPr>
        <w:t>El 14 de septiembre de 2011, el Ministerio Públic</w:t>
      </w:r>
      <w:r w:rsidR="00CD7986">
        <w:rPr>
          <w:rFonts w:eastAsia="Calibri"/>
          <w:lang w:val="es-ES_tradnl"/>
        </w:rPr>
        <w:t>o formul</w:t>
      </w:r>
      <w:r w:rsidR="00E20095">
        <w:rPr>
          <w:rFonts w:eastAsia="Calibri"/>
          <w:lang w:val="es-ES_tradnl"/>
        </w:rPr>
        <w:t>ó acusación penal en contra de los siete imputados</w:t>
      </w:r>
      <w:r w:rsidR="008D143E">
        <w:rPr>
          <w:rFonts w:eastAsia="Calibri"/>
          <w:lang w:val="es-ES_tradnl"/>
        </w:rPr>
        <w:t>, en calidad de autores</w:t>
      </w:r>
      <w:r w:rsidR="00E20095">
        <w:rPr>
          <w:rFonts w:eastAsia="Calibri"/>
          <w:lang w:val="es-ES_tradnl"/>
        </w:rPr>
        <w:t xml:space="preserve">. </w:t>
      </w:r>
      <w:r w:rsidR="00CD3137">
        <w:rPr>
          <w:rFonts w:eastAsia="Calibri"/>
          <w:lang w:val="es-ES_tradnl"/>
        </w:rPr>
        <w:t>La audiencia</w:t>
      </w:r>
      <w:r w:rsidR="00CD3137" w:rsidRPr="00F17C8C">
        <w:rPr>
          <w:rFonts w:eastAsia="Calibri"/>
          <w:lang w:val="es-ES_tradnl"/>
        </w:rPr>
        <w:t xml:space="preserve"> preliminar </w:t>
      </w:r>
      <w:r w:rsidR="00CD3137">
        <w:rPr>
          <w:rFonts w:eastAsia="Calibri"/>
          <w:lang w:val="es-ES_tradnl"/>
        </w:rPr>
        <w:t>prevista para</w:t>
      </w:r>
      <w:r w:rsidR="00127AA7">
        <w:rPr>
          <w:rFonts w:eastAsia="Calibri"/>
          <w:lang w:val="es-ES_tradnl"/>
        </w:rPr>
        <w:t xml:space="preserve"> e</w:t>
      </w:r>
      <w:r w:rsidR="00E20095">
        <w:rPr>
          <w:rFonts w:eastAsia="Calibri"/>
          <w:lang w:val="es-ES_tradnl"/>
        </w:rPr>
        <w:t>l 20 de septiembre de 2011</w:t>
      </w:r>
      <w:r w:rsidR="00CD3137">
        <w:rPr>
          <w:rFonts w:eastAsia="Calibri"/>
          <w:lang w:val="es-ES_tradnl"/>
        </w:rPr>
        <w:t xml:space="preserve"> fue suspendida </w:t>
      </w:r>
      <w:r w:rsidR="00E20095" w:rsidRPr="00F17C8C">
        <w:rPr>
          <w:rFonts w:eastAsia="Calibri"/>
          <w:lang w:val="es-ES_tradnl"/>
        </w:rPr>
        <w:t xml:space="preserve">por </w:t>
      </w:r>
      <w:r w:rsidR="008D143E">
        <w:rPr>
          <w:rFonts w:eastAsia="Calibri"/>
          <w:lang w:val="es-ES_tradnl"/>
        </w:rPr>
        <w:t>cuestiones procesales</w:t>
      </w:r>
      <w:r w:rsidR="00900011">
        <w:rPr>
          <w:rFonts w:eastAsia="Calibri"/>
          <w:lang w:val="es-ES_tradnl"/>
        </w:rPr>
        <w:t>.</w:t>
      </w:r>
      <w:r w:rsidR="008D143E">
        <w:rPr>
          <w:rFonts w:eastAsia="Calibri"/>
          <w:lang w:val="es-ES_tradnl"/>
        </w:rPr>
        <w:t xml:space="preserve"> </w:t>
      </w:r>
      <w:r w:rsidR="0059426A">
        <w:rPr>
          <w:rFonts w:eastAsia="Calibri"/>
          <w:lang w:val="es-ES_tradnl"/>
        </w:rPr>
        <w:t>E</w:t>
      </w:r>
      <w:r w:rsidR="00E20095" w:rsidRPr="00F17C8C">
        <w:rPr>
          <w:rFonts w:eastAsia="Calibri"/>
          <w:lang w:val="es-ES_tradnl"/>
        </w:rPr>
        <w:t>l proceso quedó paraliza</w:t>
      </w:r>
      <w:r w:rsidR="00CD3137">
        <w:rPr>
          <w:rFonts w:eastAsia="Calibri"/>
          <w:lang w:val="es-ES_tradnl"/>
        </w:rPr>
        <w:t xml:space="preserve">do </w:t>
      </w:r>
      <w:r w:rsidR="00900011">
        <w:rPr>
          <w:rFonts w:eastAsia="Calibri"/>
          <w:lang w:val="es-ES_tradnl"/>
        </w:rPr>
        <w:t xml:space="preserve">hasta que </w:t>
      </w:r>
      <w:r w:rsidR="00CD3137">
        <w:rPr>
          <w:rFonts w:eastAsia="Calibri"/>
          <w:lang w:val="es-ES_tradnl"/>
        </w:rPr>
        <w:t>Norma Portillo Cáceres</w:t>
      </w:r>
      <w:r w:rsidR="00F2694E">
        <w:rPr>
          <w:rFonts w:eastAsia="Calibri"/>
          <w:lang w:val="es-ES_tradnl"/>
        </w:rPr>
        <w:t xml:space="preserve"> solicit</w:t>
      </w:r>
      <w:r w:rsidR="0059426A">
        <w:rPr>
          <w:rFonts w:eastAsia="Calibri"/>
          <w:lang w:val="es-ES_tradnl"/>
        </w:rPr>
        <w:t>ara</w:t>
      </w:r>
      <w:r w:rsidR="00F2694E">
        <w:rPr>
          <w:rFonts w:eastAsia="Calibri"/>
          <w:lang w:val="es-ES_tradnl"/>
        </w:rPr>
        <w:t xml:space="preserve"> </w:t>
      </w:r>
      <w:r w:rsidR="0059426A">
        <w:rPr>
          <w:rFonts w:eastAsia="Calibri"/>
          <w:lang w:val="es-ES_tradnl"/>
        </w:rPr>
        <w:t xml:space="preserve">el 9 de mayo de 2012 </w:t>
      </w:r>
      <w:r w:rsidR="00900011">
        <w:rPr>
          <w:rFonts w:eastAsia="Calibri"/>
          <w:lang w:val="es-ES_tradnl"/>
        </w:rPr>
        <w:t xml:space="preserve">al Juzgado </w:t>
      </w:r>
      <w:r w:rsidR="00F2694E">
        <w:rPr>
          <w:rFonts w:eastAsia="Calibri"/>
          <w:lang w:val="es-ES_tradnl"/>
        </w:rPr>
        <w:t xml:space="preserve">información sobre el estado de la causa. </w:t>
      </w:r>
      <w:r w:rsidR="00E76A28">
        <w:rPr>
          <w:rFonts w:eastAsia="Calibri"/>
          <w:lang w:val="es-ES_tradnl"/>
        </w:rPr>
        <w:t>E</w:t>
      </w:r>
      <w:r w:rsidR="00F2694E">
        <w:rPr>
          <w:rFonts w:eastAsia="Calibri"/>
          <w:lang w:val="es-ES_tradnl"/>
        </w:rPr>
        <w:t xml:space="preserve">l Juzgado convocó a una audiencia </w:t>
      </w:r>
      <w:r w:rsidR="00F2694E" w:rsidRPr="00F17C8C">
        <w:rPr>
          <w:rFonts w:eastAsia="Calibri"/>
          <w:lang w:val="es-ES_tradnl"/>
        </w:rPr>
        <w:t xml:space="preserve">preliminar </w:t>
      </w:r>
      <w:r w:rsidR="00F2694E">
        <w:rPr>
          <w:rFonts w:eastAsia="Calibri"/>
          <w:lang w:val="es-ES_tradnl"/>
        </w:rPr>
        <w:t>para el 29 de mayo</w:t>
      </w:r>
      <w:r w:rsidR="00E76A28">
        <w:rPr>
          <w:rFonts w:eastAsia="Calibri"/>
          <w:lang w:val="es-ES_tradnl"/>
        </w:rPr>
        <w:t xml:space="preserve"> de 2012</w:t>
      </w:r>
      <w:r w:rsidR="00F2694E">
        <w:rPr>
          <w:rFonts w:eastAsia="Calibri"/>
          <w:lang w:val="es-ES_tradnl"/>
        </w:rPr>
        <w:t xml:space="preserve">, </w:t>
      </w:r>
      <w:r w:rsidR="00553F4D">
        <w:rPr>
          <w:rFonts w:eastAsia="Calibri"/>
          <w:lang w:val="es-ES_tradnl"/>
        </w:rPr>
        <w:t>la cual</w:t>
      </w:r>
      <w:r w:rsidR="00F2694E">
        <w:rPr>
          <w:rFonts w:eastAsia="Calibri"/>
          <w:lang w:val="es-ES_tradnl"/>
        </w:rPr>
        <w:t xml:space="preserve"> no fue llevada a cabo porque no se notificó a las partes.</w:t>
      </w:r>
      <w:r w:rsidR="00B12699">
        <w:rPr>
          <w:rFonts w:eastAsia="Calibri"/>
          <w:lang w:val="es-ES_tradnl"/>
        </w:rPr>
        <w:t xml:space="preserve"> </w:t>
      </w:r>
    </w:p>
    <w:p w:rsidR="00BB4B44" w:rsidRDefault="00E76A28" w:rsidP="004C219A">
      <w:pPr>
        <w:pStyle w:val="SingleTxtG"/>
        <w:rPr>
          <w:rFonts w:eastAsia="Calibri"/>
          <w:lang w:val="es-ES_tradnl"/>
        </w:rPr>
      </w:pPr>
      <w:r>
        <w:rPr>
          <w:rFonts w:eastAsia="Calibri"/>
          <w:lang w:val="es-ES_tradnl"/>
        </w:rPr>
        <w:t>2.</w:t>
      </w:r>
      <w:r w:rsidR="00115EA3">
        <w:rPr>
          <w:rFonts w:eastAsia="Calibri"/>
          <w:lang w:val="es-ES_tradnl"/>
        </w:rPr>
        <w:t>1</w:t>
      </w:r>
      <w:r w:rsidR="00B605DC">
        <w:rPr>
          <w:rFonts w:eastAsia="Calibri"/>
          <w:lang w:val="es-ES_tradnl"/>
        </w:rPr>
        <w:t>5</w:t>
      </w:r>
      <w:r>
        <w:rPr>
          <w:rFonts w:eastAsia="Calibri"/>
          <w:lang w:val="es-ES_tradnl"/>
        </w:rPr>
        <w:tab/>
      </w:r>
      <w:r w:rsidR="00C426A2">
        <w:rPr>
          <w:rFonts w:eastAsia="Calibri"/>
          <w:lang w:val="es-ES_tradnl"/>
        </w:rPr>
        <w:t>La audiencia preliminar se realizó el 25 de junio de 2013. La defensa indicó que las fincas de los acusados y las pulverizaciones que realizan son de pequeña extensión en comparación con las grandes haciendas colindantes mencionadas en la carpeta de investigación, por lo que no pudieron haber llegado hasta las fincas de los autores. E</w:t>
      </w:r>
      <w:r w:rsidR="00C426A2" w:rsidRPr="00017691">
        <w:rPr>
          <w:rFonts w:eastAsia="Calibri"/>
          <w:lang w:val="es-ES_tradnl"/>
        </w:rPr>
        <w:t xml:space="preserve">l Ministerio Público decidió </w:t>
      </w:r>
      <w:r w:rsidR="00C426A2" w:rsidRPr="00E17A6D">
        <w:rPr>
          <w:rFonts w:eastAsia="Calibri"/>
          <w:lang w:val="es-ES_tradnl"/>
        </w:rPr>
        <w:t>retirar la acusación y solicitar el sobreseimiento provisional por falta de pruebas</w:t>
      </w:r>
      <w:r w:rsidR="00C426A2">
        <w:rPr>
          <w:rFonts w:eastAsia="Calibri"/>
          <w:lang w:val="es-ES_tradnl"/>
        </w:rPr>
        <w:t xml:space="preserve">. </w:t>
      </w:r>
      <w:r w:rsidR="00F17C8C" w:rsidRPr="00017691">
        <w:rPr>
          <w:rFonts w:eastAsia="Calibri"/>
          <w:lang w:val="es-ES_tradnl"/>
        </w:rPr>
        <w:t xml:space="preserve">El </w:t>
      </w:r>
      <w:r w:rsidR="00302225">
        <w:rPr>
          <w:rFonts w:eastAsia="Calibri"/>
          <w:lang w:val="es-ES_tradnl"/>
        </w:rPr>
        <w:t>3</w:t>
      </w:r>
      <w:r w:rsidR="00F17C8C" w:rsidRPr="00017691">
        <w:rPr>
          <w:rFonts w:eastAsia="Calibri"/>
          <w:lang w:val="es-ES_tradnl"/>
        </w:rPr>
        <w:t xml:space="preserve">1 de </w:t>
      </w:r>
      <w:r w:rsidR="00302225">
        <w:rPr>
          <w:rFonts w:eastAsia="Calibri"/>
          <w:lang w:val="es-ES_tradnl"/>
        </w:rPr>
        <w:t>julio</w:t>
      </w:r>
      <w:r w:rsidR="00F17C8C" w:rsidRPr="00017691">
        <w:rPr>
          <w:rFonts w:eastAsia="Calibri"/>
          <w:lang w:val="es-ES_tradnl"/>
        </w:rPr>
        <w:t xml:space="preserve"> de 2013, la Fiscalía General </w:t>
      </w:r>
      <w:r w:rsidR="00302225">
        <w:rPr>
          <w:rFonts w:eastAsia="Calibri"/>
          <w:lang w:val="es-ES_tradnl"/>
        </w:rPr>
        <w:t>ratific</w:t>
      </w:r>
      <w:r w:rsidR="00F17C8C" w:rsidRPr="00017691">
        <w:rPr>
          <w:rFonts w:eastAsia="Calibri"/>
          <w:lang w:val="es-ES_tradnl"/>
        </w:rPr>
        <w:t xml:space="preserve">ó el requerimiento de sobreseimiento </w:t>
      </w:r>
      <w:r w:rsidR="00F17C8C" w:rsidRPr="00017691">
        <w:rPr>
          <w:rFonts w:eastAsia="Calibri"/>
          <w:lang w:val="es-ES_tradnl"/>
        </w:rPr>
        <w:lastRenderedPageBreak/>
        <w:t>provisional e indicó que se debía</w:t>
      </w:r>
      <w:r w:rsidR="0075710E">
        <w:rPr>
          <w:rFonts w:eastAsia="Calibri"/>
          <w:lang w:val="es-ES_tradnl"/>
        </w:rPr>
        <w:t>n</w:t>
      </w:r>
      <w:r w:rsidR="00F17C8C" w:rsidRPr="00017691">
        <w:rPr>
          <w:rFonts w:eastAsia="Calibri"/>
          <w:lang w:val="es-ES_tradnl"/>
        </w:rPr>
        <w:t xml:space="preserve"> realizar</w:t>
      </w:r>
      <w:r w:rsidR="00815CA1">
        <w:rPr>
          <w:rFonts w:eastAsia="Calibri"/>
          <w:lang w:val="es-ES_tradnl"/>
        </w:rPr>
        <w:t>,</w:t>
      </w:r>
      <w:r w:rsidR="00F17C8C" w:rsidRPr="00017691">
        <w:rPr>
          <w:rFonts w:eastAsia="Calibri"/>
          <w:lang w:val="es-ES_tradnl"/>
        </w:rPr>
        <w:t xml:space="preserve"> </w:t>
      </w:r>
      <w:r w:rsidR="009869D2" w:rsidRPr="00017691">
        <w:rPr>
          <w:rFonts w:eastAsia="Calibri"/>
          <w:lang w:val="es-ES_tradnl"/>
        </w:rPr>
        <w:t>en el plazo de un año</w:t>
      </w:r>
      <w:r w:rsidR="009869D2">
        <w:rPr>
          <w:rFonts w:eastAsia="Calibri"/>
          <w:lang w:val="es-ES_tradnl"/>
        </w:rPr>
        <w:t xml:space="preserve"> (lapso que otorga el sobreseimiento provisional), </w:t>
      </w:r>
      <w:r w:rsidR="00F17C8C" w:rsidRPr="00017691">
        <w:rPr>
          <w:rFonts w:eastAsia="Calibri"/>
          <w:lang w:val="es-ES_tradnl"/>
        </w:rPr>
        <w:t>22 pruebas</w:t>
      </w:r>
      <w:r w:rsidR="00815CA1">
        <w:rPr>
          <w:rFonts w:eastAsia="Calibri"/>
          <w:lang w:val="es-ES_tradnl"/>
        </w:rPr>
        <w:t xml:space="preserve"> adicionales</w:t>
      </w:r>
      <w:r w:rsidR="00F17C8C" w:rsidRPr="00017691">
        <w:rPr>
          <w:rFonts w:eastAsia="Calibri"/>
          <w:lang w:val="es-ES_tradnl"/>
        </w:rPr>
        <w:t xml:space="preserve"> </w:t>
      </w:r>
      <w:r w:rsidR="00815CA1">
        <w:rPr>
          <w:rFonts w:eastAsia="Calibri"/>
          <w:lang w:val="es-ES_tradnl"/>
        </w:rPr>
        <w:t>(</w:t>
      </w:r>
      <w:r w:rsidR="0089043A">
        <w:rPr>
          <w:rFonts w:eastAsia="Calibri"/>
          <w:lang w:val="es-ES_tradnl"/>
        </w:rPr>
        <w:t xml:space="preserve">declaraciones testimoniales, </w:t>
      </w:r>
      <w:r w:rsidR="009869D2">
        <w:rPr>
          <w:rFonts w:eastAsia="Calibri"/>
          <w:lang w:val="es-ES_tradnl"/>
        </w:rPr>
        <w:t>info</w:t>
      </w:r>
      <w:r w:rsidR="00EB52DB">
        <w:rPr>
          <w:rFonts w:eastAsia="Calibri"/>
          <w:lang w:val="es-ES_tradnl"/>
        </w:rPr>
        <w:t>rmes de estudios de laboratorio, anteced</w:t>
      </w:r>
      <w:r w:rsidR="00D7763B">
        <w:rPr>
          <w:rFonts w:eastAsia="Calibri"/>
          <w:lang w:val="es-ES_tradnl"/>
        </w:rPr>
        <w:t>entes penales y policiales de lo</w:t>
      </w:r>
      <w:r w:rsidR="00EB52DB">
        <w:rPr>
          <w:rFonts w:eastAsia="Calibri"/>
          <w:lang w:val="es-ES_tradnl"/>
        </w:rPr>
        <w:t xml:space="preserve">s </w:t>
      </w:r>
      <w:r w:rsidR="00D7763B">
        <w:rPr>
          <w:rFonts w:eastAsia="Calibri"/>
          <w:lang w:val="es-ES_tradnl"/>
        </w:rPr>
        <w:t>acusados</w:t>
      </w:r>
      <w:r w:rsidR="006D52C8">
        <w:rPr>
          <w:rFonts w:eastAsia="Calibri"/>
          <w:lang w:val="es-ES_tradnl"/>
        </w:rPr>
        <w:t>, y autopsia del Sr. Portillo Cáceres</w:t>
      </w:r>
      <w:r w:rsidR="00D7763B">
        <w:rPr>
          <w:rFonts w:eastAsia="Calibri"/>
          <w:lang w:val="es-ES_tradnl"/>
        </w:rPr>
        <w:t>)</w:t>
      </w:r>
      <w:r w:rsidR="0075710E">
        <w:rPr>
          <w:rFonts w:eastAsia="Calibri"/>
          <w:lang w:val="es-ES_tradnl"/>
        </w:rPr>
        <w:t xml:space="preserve">. </w:t>
      </w:r>
      <w:r w:rsidR="0094038A">
        <w:rPr>
          <w:rFonts w:eastAsia="Calibri"/>
          <w:lang w:val="es-ES_tradnl"/>
        </w:rPr>
        <w:t>E</w:t>
      </w:r>
      <w:r w:rsidR="0075710E" w:rsidRPr="0075710E">
        <w:rPr>
          <w:rFonts w:eastAsia="Calibri"/>
          <w:lang w:val="es-ES_tradnl"/>
        </w:rPr>
        <w:t xml:space="preserve">l 3 de septiembre de 2013, el Juzgado Penal de Garantías de Curuguaty resolvió sobreseer provisionalmente </w:t>
      </w:r>
      <w:r w:rsidR="00021B64">
        <w:rPr>
          <w:rFonts w:eastAsia="Calibri"/>
          <w:lang w:val="es-ES_tradnl"/>
        </w:rPr>
        <w:t>a los siete acusados.</w:t>
      </w:r>
      <w:r w:rsidR="0075710E" w:rsidRPr="002E5C41">
        <w:rPr>
          <w:rFonts w:eastAsia="Calibri"/>
          <w:lang w:val="es-ES_tradnl"/>
        </w:rPr>
        <w:t xml:space="preserve"> </w:t>
      </w:r>
    </w:p>
    <w:p w:rsidR="004151D9" w:rsidRPr="00175908" w:rsidRDefault="00D7763B" w:rsidP="00175908">
      <w:pPr>
        <w:spacing w:after="120"/>
        <w:ind w:left="1134" w:right="1134"/>
        <w:jc w:val="both"/>
        <w:rPr>
          <w:rFonts w:eastAsia="Calibri"/>
          <w:lang w:val="es-ES_tradnl"/>
        </w:rPr>
      </w:pPr>
      <w:r>
        <w:rPr>
          <w:rFonts w:eastAsia="Calibri"/>
          <w:lang w:val="es-ES_tradnl"/>
        </w:rPr>
        <w:t>2.</w:t>
      </w:r>
      <w:r w:rsidR="00B605DC">
        <w:rPr>
          <w:rFonts w:eastAsia="Calibri"/>
          <w:lang w:val="es-ES_tradnl"/>
        </w:rPr>
        <w:t>16</w:t>
      </w:r>
      <w:r w:rsidR="00C509AA">
        <w:rPr>
          <w:rFonts w:eastAsia="Calibri"/>
          <w:lang w:val="es-ES_tradnl"/>
        </w:rPr>
        <w:tab/>
      </w:r>
      <w:r w:rsidR="00DE65AD">
        <w:rPr>
          <w:rFonts w:eastAsia="Calibri"/>
          <w:lang w:val="es-ES_tradnl"/>
        </w:rPr>
        <w:t>N</w:t>
      </w:r>
      <w:r w:rsidR="004151D9">
        <w:rPr>
          <w:rFonts w:eastAsia="Calibri"/>
          <w:lang w:val="es-ES_tradnl"/>
        </w:rPr>
        <w:t>o se llevaron a cabo diligencias de pruebas fundamentales a pesar de haber sido solicitadas por el fiscal.</w:t>
      </w:r>
      <w:r w:rsidR="004151D9" w:rsidRPr="00CE198C">
        <w:rPr>
          <w:lang w:val="es-ES"/>
        </w:rPr>
        <w:t xml:space="preserve"> </w:t>
      </w:r>
      <w:r w:rsidR="00374538">
        <w:rPr>
          <w:rFonts w:eastAsia="Calibri"/>
          <w:lang w:val="es-ES_tradnl"/>
        </w:rPr>
        <w:t>L</w:t>
      </w:r>
      <w:r w:rsidR="004151D9" w:rsidRPr="00CE198C">
        <w:rPr>
          <w:rFonts w:eastAsia="Calibri"/>
          <w:lang w:val="es-ES_tradnl"/>
        </w:rPr>
        <w:t xml:space="preserve">a </w:t>
      </w:r>
      <w:r w:rsidR="004151D9" w:rsidRPr="00A43A68">
        <w:rPr>
          <w:rFonts w:eastAsia="Calibri"/>
          <w:lang w:val="es-ES_tradnl"/>
        </w:rPr>
        <w:t>autopsia</w:t>
      </w:r>
      <w:r w:rsidR="004151D9" w:rsidRPr="00CE198C">
        <w:rPr>
          <w:rFonts w:eastAsia="Calibri"/>
          <w:lang w:val="es-ES_tradnl"/>
        </w:rPr>
        <w:t xml:space="preserve"> </w:t>
      </w:r>
      <w:r w:rsidR="004151D9">
        <w:rPr>
          <w:rFonts w:eastAsia="Calibri"/>
          <w:lang w:val="es-ES_tradnl"/>
        </w:rPr>
        <w:t xml:space="preserve">nunca fue efectuada, a pesar de </w:t>
      </w:r>
      <w:r w:rsidR="004151D9" w:rsidRPr="006E5424">
        <w:rPr>
          <w:rFonts w:eastAsia="Calibri"/>
          <w:lang w:val="es-ES_tradnl"/>
        </w:rPr>
        <w:t xml:space="preserve">haber sido requerida en </w:t>
      </w:r>
      <w:r w:rsidR="004151D9">
        <w:rPr>
          <w:rFonts w:eastAsia="Calibri"/>
          <w:lang w:val="es-ES_tradnl"/>
        </w:rPr>
        <w:t>cuatro</w:t>
      </w:r>
      <w:r w:rsidR="004151D9" w:rsidRPr="006E5424">
        <w:rPr>
          <w:rFonts w:eastAsia="Calibri"/>
          <w:lang w:val="es-ES_tradnl"/>
        </w:rPr>
        <w:t xml:space="preserve"> ocasiones</w:t>
      </w:r>
      <w:r w:rsidR="004151D9" w:rsidRPr="00DF7A52">
        <w:rPr>
          <w:rFonts w:eastAsia="Calibri"/>
          <w:lang w:val="es-ES_tradnl"/>
        </w:rPr>
        <w:t xml:space="preserve"> </w:t>
      </w:r>
      <w:r w:rsidR="004151D9" w:rsidRPr="006E5424">
        <w:rPr>
          <w:rFonts w:eastAsia="Calibri"/>
          <w:lang w:val="es-ES_tradnl"/>
        </w:rPr>
        <w:t>a los efectos de determinar la existencia de trazos o vestigios de agroquímicos en los órganos internos</w:t>
      </w:r>
      <w:r w:rsidR="00287F60" w:rsidRPr="00287F60">
        <w:rPr>
          <w:color w:val="000000"/>
          <w:lang w:val="es-ES_tradnl"/>
        </w:rPr>
        <w:t xml:space="preserve"> </w:t>
      </w:r>
      <w:r w:rsidR="00287F60">
        <w:rPr>
          <w:color w:val="000000"/>
          <w:lang w:val="es-ES_tradnl"/>
        </w:rPr>
        <w:t>y así determinar la relación entre la muerte y la exposición crónica a fumigaciones, y a aguas, suelos y alimentos contaminados</w:t>
      </w:r>
      <w:r w:rsidR="004151D9">
        <w:rPr>
          <w:rFonts w:eastAsia="Calibri"/>
          <w:lang w:val="es-ES_tradnl"/>
        </w:rPr>
        <w:t>.</w:t>
      </w:r>
      <w:r w:rsidR="004151D9">
        <w:rPr>
          <w:rStyle w:val="FootnoteReference"/>
          <w:rFonts w:eastAsia="Calibri"/>
          <w:lang w:val="es-ES_tradnl"/>
        </w:rPr>
        <w:footnoteReference w:id="12"/>
      </w:r>
      <w:r w:rsidR="004151D9">
        <w:rPr>
          <w:rFonts w:eastAsia="Calibri"/>
          <w:lang w:val="es-ES_tradnl"/>
        </w:rPr>
        <w:t xml:space="preserve"> T</w:t>
      </w:r>
      <w:r w:rsidR="004151D9" w:rsidRPr="00DA4C2E">
        <w:rPr>
          <w:rFonts w:eastAsia="Calibri"/>
          <w:lang w:val="es-ES_tradnl"/>
        </w:rPr>
        <w:t>ampoco se</w:t>
      </w:r>
      <w:r w:rsidR="004151D9">
        <w:rPr>
          <w:rFonts w:eastAsia="Calibri"/>
          <w:lang w:val="es-ES_tradnl"/>
        </w:rPr>
        <w:t xml:space="preserve"> obtuvieron</w:t>
      </w:r>
      <w:r w:rsidR="004151D9" w:rsidRPr="00DA4C2E">
        <w:rPr>
          <w:rFonts w:eastAsia="Calibri"/>
          <w:lang w:val="es-ES_tradnl"/>
        </w:rPr>
        <w:t xml:space="preserve"> las historias clínicas</w:t>
      </w:r>
      <w:r w:rsidR="004151D9" w:rsidRPr="00F96C4A">
        <w:rPr>
          <w:rFonts w:eastAsia="Calibri"/>
          <w:lang w:val="es-ES_tradnl"/>
        </w:rPr>
        <w:t xml:space="preserve"> </w:t>
      </w:r>
      <w:r w:rsidR="004151D9">
        <w:rPr>
          <w:rFonts w:eastAsia="Calibri"/>
          <w:lang w:val="es-ES_tradnl"/>
        </w:rPr>
        <w:t xml:space="preserve">de </w:t>
      </w:r>
      <w:r w:rsidR="004151D9" w:rsidRPr="00DA4C2E">
        <w:rPr>
          <w:rFonts w:eastAsia="Calibri"/>
          <w:lang w:val="es-ES_tradnl"/>
        </w:rPr>
        <w:t xml:space="preserve">los </w:t>
      </w:r>
      <w:r w:rsidR="00E66E21">
        <w:rPr>
          <w:rFonts w:eastAsia="Calibri"/>
          <w:lang w:val="es-ES_tradnl"/>
        </w:rPr>
        <w:t>autores</w:t>
      </w:r>
      <w:r w:rsidR="004151D9">
        <w:rPr>
          <w:rFonts w:eastAsia="Calibri"/>
          <w:lang w:val="es-ES_tradnl"/>
        </w:rPr>
        <w:t>,</w:t>
      </w:r>
      <w:r w:rsidR="004151D9" w:rsidRPr="00DA4C2E">
        <w:rPr>
          <w:rFonts w:eastAsia="Calibri"/>
          <w:lang w:val="es-ES_tradnl"/>
        </w:rPr>
        <w:t xml:space="preserve"> y </w:t>
      </w:r>
      <w:r w:rsidR="004151D9">
        <w:rPr>
          <w:rFonts w:eastAsia="Calibri"/>
          <w:lang w:val="es-ES_tradnl"/>
        </w:rPr>
        <w:t xml:space="preserve">no se </w:t>
      </w:r>
      <w:r w:rsidR="004151D9" w:rsidRPr="00DA4C2E">
        <w:rPr>
          <w:rFonts w:eastAsia="Calibri"/>
          <w:lang w:val="es-ES_tradnl"/>
        </w:rPr>
        <w:t>incorporaron a la</w:t>
      </w:r>
      <w:r w:rsidR="004151D9">
        <w:rPr>
          <w:rFonts w:eastAsia="Calibri"/>
          <w:lang w:val="es-ES_tradnl"/>
        </w:rPr>
        <w:t xml:space="preserve"> carpeta de</w:t>
      </w:r>
      <w:r w:rsidR="004151D9" w:rsidRPr="00DA4C2E">
        <w:rPr>
          <w:rFonts w:eastAsia="Calibri"/>
          <w:lang w:val="es-ES_tradnl"/>
        </w:rPr>
        <w:t xml:space="preserve"> investigación </w:t>
      </w:r>
      <w:r w:rsidR="004151D9">
        <w:rPr>
          <w:rFonts w:eastAsia="Calibri"/>
          <w:lang w:val="es-ES_tradnl"/>
        </w:rPr>
        <w:t xml:space="preserve">los resultados de sus </w:t>
      </w:r>
      <w:r w:rsidR="004151D9" w:rsidRPr="00DA4C2E">
        <w:rPr>
          <w:rFonts w:eastAsia="Calibri"/>
          <w:lang w:val="es-ES_tradnl"/>
        </w:rPr>
        <w:t xml:space="preserve">pruebas </w:t>
      </w:r>
      <w:r w:rsidR="004151D9">
        <w:rPr>
          <w:rFonts w:eastAsia="Calibri"/>
          <w:lang w:val="es-ES_tradnl"/>
        </w:rPr>
        <w:t>de sangre y orina.</w:t>
      </w:r>
      <w:r w:rsidR="00175908" w:rsidRPr="00175908">
        <w:rPr>
          <w:lang w:val="es-ES"/>
        </w:rPr>
        <w:t xml:space="preserve"> </w:t>
      </w:r>
      <w:r w:rsidR="00175908">
        <w:rPr>
          <w:rFonts w:eastAsia="Calibri"/>
          <w:lang w:val="es-ES_tradnl"/>
        </w:rPr>
        <w:t xml:space="preserve">Asimismo, </w:t>
      </w:r>
      <w:r w:rsidR="00175908" w:rsidRPr="00175908">
        <w:rPr>
          <w:rFonts w:eastAsia="Calibri"/>
          <w:lang w:val="es-ES_tradnl"/>
        </w:rPr>
        <w:t xml:space="preserve">los dueños o administradores de las dos grandes explotaciones colindantes con sus viviendas no </w:t>
      </w:r>
      <w:r w:rsidR="00175908">
        <w:rPr>
          <w:rFonts w:eastAsia="Calibri"/>
          <w:lang w:val="es-ES_tradnl"/>
        </w:rPr>
        <w:t>fueron penalmente</w:t>
      </w:r>
      <w:r w:rsidR="00175908" w:rsidRPr="00175908">
        <w:rPr>
          <w:rFonts w:eastAsia="Calibri"/>
          <w:lang w:val="es-ES_tradnl"/>
        </w:rPr>
        <w:t xml:space="preserve"> imputados.</w:t>
      </w:r>
    </w:p>
    <w:p w:rsidR="00665774" w:rsidRPr="00665774" w:rsidRDefault="00DE7918" w:rsidP="00DE7918">
      <w:pPr>
        <w:pStyle w:val="H4G"/>
        <w:rPr>
          <w:rFonts w:eastAsia="Calibri"/>
          <w:lang w:val="es-ES_tradnl"/>
        </w:rPr>
      </w:pPr>
      <w:r>
        <w:rPr>
          <w:rFonts w:eastAsia="Calibri"/>
          <w:lang w:val="es-ES_tradnl"/>
        </w:rPr>
        <w:tab/>
      </w:r>
      <w:r>
        <w:rPr>
          <w:rFonts w:eastAsia="Calibri"/>
          <w:lang w:val="es-ES_tradnl"/>
        </w:rPr>
        <w:tab/>
      </w:r>
      <w:r w:rsidR="00665774" w:rsidRPr="00665774">
        <w:rPr>
          <w:rFonts w:eastAsia="Calibri"/>
          <w:lang w:val="es-ES_tradnl"/>
        </w:rPr>
        <w:t>Recurso de amparo constitucional</w:t>
      </w:r>
    </w:p>
    <w:p w:rsidR="00F1287E" w:rsidRPr="00614542" w:rsidRDefault="000A72F2" w:rsidP="0007741F">
      <w:pPr>
        <w:pStyle w:val="SingleTxtG"/>
        <w:rPr>
          <w:rFonts w:eastAsia="Calibri"/>
          <w:lang w:val="es-ES_tradnl"/>
        </w:rPr>
      </w:pPr>
      <w:r>
        <w:rPr>
          <w:rFonts w:eastAsia="Calibri"/>
          <w:lang w:val="es-ES_tradnl"/>
        </w:rPr>
        <w:t>2.</w:t>
      </w:r>
      <w:r w:rsidR="00B605DC">
        <w:rPr>
          <w:rFonts w:eastAsia="Calibri"/>
          <w:lang w:val="es-ES_tradnl"/>
        </w:rPr>
        <w:t>17</w:t>
      </w:r>
      <w:r w:rsidR="00614542" w:rsidRPr="00614542">
        <w:rPr>
          <w:rFonts w:eastAsia="Calibri"/>
          <w:lang w:val="es-ES_tradnl"/>
        </w:rPr>
        <w:tab/>
        <w:t xml:space="preserve">Norma Portillo Cáceres </w:t>
      </w:r>
      <w:r w:rsidR="00FF6306">
        <w:rPr>
          <w:rFonts w:eastAsia="Calibri"/>
          <w:lang w:val="es-ES_tradnl"/>
        </w:rPr>
        <w:t>también presentó</w:t>
      </w:r>
      <w:r w:rsidR="002C3255">
        <w:rPr>
          <w:rFonts w:eastAsia="Calibri"/>
          <w:lang w:val="es-ES_tradnl"/>
        </w:rPr>
        <w:t xml:space="preserve"> </w:t>
      </w:r>
      <w:r w:rsidR="00E67F0F" w:rsidRPr="00614542">
        <w:rPr>
          <w:rFonts w:eastAsia="Calibri"/>
          <w:lang w:val="es-ES_tradnl"/>
        </w:rPr>
        <w:t xml:space="preserve">el 14 de enero de 2011 </w:t>
      </w:r>
      <w:r w:rsidR="002C3255">
        <w:rPr>
          <w:rFonts w:eastAsia="Calibri"/>
          <w:lang w:val="es-ES_tradnl"/>
        </w:rPr>
        <w:t>en la capital</w:t>
      </w:r>
      <w:r w:rsidR="00614542" w:rsidRPr="00614542">
        <w:rPr>
          <w:rFonts w:eastAsia="Calibri"/>
          <w:lang w:val="es-ES_tradnl"/>
        </w:rPr>
        <w:t xml:space="preserve"> una acción de amparo constitucional </w:t>
      </w:r>
      <w:r w:rsidR="00C740BA">
        <w:rPr>
          <w:rFonts w:eastAsia="Calibri"/>
          <w:lang w:val="es-ES_tradnl"/>
        </w:rPr>
        <w:t xml:space="preserve">para la protección del ambiente y salud de </w:t>
      </w:r>
      <w:r w:rsidR="00115EA3">
        <w:rPr>
          <w:rFonts w:eastAsia="Calibri"/>
          <w:lang w:val="es-ES_tradnl"/>
        </w:rPr>
        <w:t xml:space="preserve">todos </w:t>
      </w:r>
      <w:r w:rsidR="00C740BA">
        <w:rPr>
          <w:rFonts w:eastAsia="Calibri"/>
          <w:lang w:val="es-ES_tradnl"/>
        </w:rPr>
        <w:t>los pobladores de la Colonia Yerutí</w:t>
      </w:r>
      <w:r w:rsidR="00C5484F">
        <w:rPr>
          <w:rFonts w:eastAsia="Calibri"/>
          <w:lang w:val="es-ES_tradnl"/>
        </w:rPr>
        <w:t>,</w:t>
      </w:r>
      <w:r w:rsidR="00C740BA" w:rsidRPr="00614542">
        <w:rPr>
          <w:rFonts w:eastAsia="Calibri"/>
          <w:lang w:val="es-ES_tradnl"/>
        </w:rPr>
        <w:t xml:space="preserve"> </w:t>
      </w:r>
      <w:r w:rsidR="006B1EE1" w:rsidRPr="00614542">
        <w:rPr>
          <w:rFonts w:eastAsia="Calibri"/>
          <w:lang w:val="es-ES_tradnl"/>
        </w:rPr>
        <w:t xml:space="preserve">en contra de cuatro entidades gubernamentales </w:t>
      </w:r>
      <w:r w:rsidR="00C64F00">
        <w:rPr>
          <w:rFonts w:eastAsia="Calibri"/>
          <w:lang w:val="es-ES_tradnl"/>
        </w:rPr>
        <w:t>(</w:t>
      </w:r>
      <w:r w:rsidR="00DD426B" w:rsidRPr="00614542">
        <w:rPr>
          <w:rFonts w:eastAsia="Calibri"/>
          <w:lang w:val="es-ES_tradnl"/>
        </w:rPr>
        <w:t>MAG, SENAVE, SEAM</w:t>
      </w:r>
      <w:r w:rsidR="00683D80">
        <w:rPr>
          <w:rFonts w:eastAsia="Calibri"/>
          <w:lang w:val="es-ES_tradnl"/>
        </w:rPr>
        <w:t>,</w:t>
      </w:r>
      <w:r w:rsidR="00DD426B" w:rsidRPr="00614542">
        <w:rPr>
          <w:rFonts w:eastAsia="Calibri"/>
          <w:lang w:val="es-ES_tradnl"/>
        </w:rPr>
        <w:t xml:space="preserve"> </w:t>
      </w:r>
      <w:r w:rsidR="007A390E">
        <w:rPr>
          <w:rFonts w:eastAsia="Calibri"/>
          <w:lang w:val="es-ES_tradnl"/>
        </w:rPr>
        <w:t>e</w:t>
      </w:r>
      <w:r w:rsidR="00DD426B" w:rsidRPr="00614542">
        <w:rPr>
          <w:rFonts w:eastAsia="Calibri"/>
          <w:lang w:val="es-ES_tradnl"/>
        </w:rPr>
        <w:t xml:space="preserve"> INDERT</w:t>
      </w:r>
      <w:r w:rsidR="00C64F00">
        <w:rPr>
          <w:rFonts w:eastAsia="Calibri"/>
          <w:lang w:val="es-ES_tradnl"/>
        </w:rPr>
        <w:t>)</w:t>
      </w:r>
      <w:r w:rsidR="00FF6306">
        <w:rPr>
          <w:rFonts w:eastAsia="Calibri"/>
          <w:lang w:val="es-ES_tradnl"/>
        </w:rPr>
        <w:t xml:space="preserve">. </w:t>
      </w:r>
      <w:r>
        <w:rPr>
          <w:rFonts w:eastAsia="Calibri"/>
          <w:lang w:val="es-ES_tradnl"/>
        </w:rPr>
        <w:t xml:space="preserve">El recurso apuntaba a la omisión del Estado parte de respetar sus deberes de protección, </w:t>
      </w:r>
      <w:r w:rsidR="009D30E9">
        <w:rPr>
          <w:rFonts w:eastAsia="Calibri"/>
          <w:lang w:val="es-ES_tradnl"/>
        </w:rPr>
        <w:t>siendo</w:t>
      </w:r>
      <w:r>
        <w:rPr>
          <w:rFonts w:eastAsia="Calibri"/>
          <w:lang w:val="es-ES_tradnl"/>
        </w:rPr>
        <w:t xml:space="preserve"> el que formalizó la creación de la Colonia y a quien paga</w:t>
      </w:r>
      <w:r w:rsidR="009D30E9">
        <w:rPr>
          <w:rFonts w:eastAsia="Calibri"/>
          <w:lang w:val="es-ES_tradnl"/>
        </w:rPr>
        <w:t>ron</w:t>
      </w:r>
      <w:r>
        <w:rPr>
          <w:rFonts w:eastAsia="Calibri"/>
          <w:lang w:val="es-ES_tradnl"/>
        </w:rPr>
        <w:t xml:space="preserve"> sus </w:t>
      </w:r>
      <w:r w:rsidR="003F3F3E">
        <w:rPr>
          <w:rFonts w:eastAsia="Calibri"/>
          <w:lang w:val="es-ES_tradnl"/>
        </w:rPr>
        <w:t>fincas</w:t>
      </w:r>
      <w:r>
        <w:rPr>
          <w:rFonts w:eastAsia="Calibri"/>
          <w:lang w:val="es-ES_tradnl"/>
        </w:rPr>
        <w:t>, y que fueron órganos del Estado los que permitieron que la Colonia qued</w:t>
      </w:r>
      <w:r w:rsidR="00115EA3">
        <w:rPr>
          <w:rFonts w:eastAsia="Calibri"/>
          <w:lang w:val="es-ES_tradnl"/>
        </w:rPr>
        <w:t>ara</w:t>
      </w:r>
      <w:r>
        <w:rPr>
          <w:rFonts w:eastAsia="Calibri"/>
          <w:lang w:val="es-ES_tradnl"/>
        </w:rPr>
        <w:t xml:space="preserve"> rodeada de explotaciones sojeras en las que se ha venido cometiendo impunemente todo tipo de delitos ambientales. </w:t>
      </w:r>
      <w:r w:rsidR="00C15512">
        <w:rPr>
          <w:rFonts w:eastAsia="Calibri"/>
          <w:lang w:val="es-ES_tradnl"/>
        </w:rPr>
        <w:t>E</w:t>
      </w:r>
      <w:r w:rsidR="00FF6306">
        <w:rPr>
          <w:rFonts w:eastAsia="Calibri"/>
          <w:lang w:val="es-ES_tradnl"/>
        </w:rPr>
        <w:t xml:space="preserve">l recurso se </w:t>
      </w:r>
      <w:r w:rsidR="00115EA3">
        <w:rPr>
          <w:rFonts w:eastAsia="Calibri"/>
          <w:lang w:val="es-ES_tradnl"/>
        </w:rPr>
        <w:t xml:space="preserve">basó </w:t>
      </w:r>
      <w:r w:rsidR="00FF6306">
        <w:rPr>
          <w:rFonts w:eastAsia="Calibri"/>
          <w:lang w:val="es-ES_tradnl"/>
        </w:rPr>
        <w:t>en las</w:t>
      </w:r>
      <w:r w:rsidR="009A6FA4">
        <w:rPr>
          <w:rFonts w:eastAsia="Calibri"/>
          <w:lang w:val="es-ES_tradnl"/>
        </w:rPr>
        <w:t xml:space="preserve"> </w:t>
      </w:r>
      <w:r w:rsidR="00FF6306">
        <w:rPr>
          <w:rFonts w:eastAsia="Calibri"/>
          <w:lang w:val="es-ES_tradnl"/>
        </w:rPr>
        <w:t>omisiones</w:t>
      </w:r>
      <w:r w:rsidR="00DD426B" w:rsidRPr="00614542">
        <w:rPr>
          <w:rFonts w:eastAsia="Calibri"/>
          <w:lang w:val="es-ES_tradnl"/>
        </w:rPr>
        <w:t xml:space="preserve"> de controles, suspensiones y sanciones </w:t>
      </w:r>
      <w:r w:rsidR="003E4CB2">
        <w:rPr>
          <w:rFonts w:eastAsia="Calibri"/>
          <w:lang w:val="es-ES_tradnl"/>
        </w:rPr>
        <w:t xml:space="preserve">en la </w:t>
      </w:r>
      <w:r w:rsidR="00DD426B" w:rsidRPr="00614542">
        <w:rPr>
          <w:rFonts w:eastAsia="Calibri"/>
          <w:lang w:val="es-ES_tradnl"/>
        </w:rPr>
        <w:t>producción agrícola</w:t>
      </w:r>
      <w:r w:rsidR="003E4CB2">
        <w:rPr>
          <w:rFonts w:eastAsia="Calibri"/>
          <w:lang w:val="es-ES_tradnl"/>
        </w:rPr>
        <w:t>,</w:t>
      </w:r>
      <w:r w:rsidR="007310D5">
        <w:rPr>
          <w:rFonts w:eastAsia="Calibri"/>
          <w:lang w:val="es-ES_tradnl"/>
        </w:rPr>
        <w:t xml:space="preserve"> que posibilita</w:t>
      </w:r>
      <w:r w:rsidR="00115EA3">
        <w:rPr>
          <w:rFonts w:eastAsia="Calibri"/>
          <w:lang w:val="es-ES_tradnl"/>
        </w:rPr>
        <w:t>ro</w:t>
      </w:r>
      <w:r w:rsidR="007310D5">
        <w:rPr>
          <w:rFonts w:eastAsia="Calibri"/>
          <w:lang w:val="es-ES_tradnl"/>
        </w:rPr>
        <w:t xml:space="preserve">n </w:t>
      </w:r>
      <w:r w:rsidR="00954ADD">
        <w:rPr>
          <w:rFonts w:eastAsia="Calibri"/>
          <w:lang w:val="es-ES_tradnl"/>
        </w:rPr>
        <w:t xml:space="preserve">actividades sin licencias ambientales </w:t>
      </w:r>
      <w:r w:rsidR="009823B0">
        <w:rPr>
          <w:rFonts w:eastAsia="Calibri"/>
          <w:lang w:val="es-ES_tradnl"/>
        </w:rPr>
        <w:t>y</w:t>
      </w:r>
      <w:r w:rsidR="007310D5">
        <w:rPr>
          <w:rFonts w:eastAsia="Calibri"/>
          <w:lang w:val="es-ES_tradnl"/>
        </w:rPr>
        <w:t xml:space="preserve"> </w:t>
      </w:r>
      <w:r>
        <w:rPr>
          <w:rFonts w:eastAsia="Calibri"/>
          <w:lang w:val="es-ES_tradnl"/>
        </w:rPr>
        <w:t xml:space="preserve">fumigaciones </w:t>
      </w:r>
      <w:r w:rsidR="007310D5">
        <w:rPr>
          <w:rFonts w:eastAsia="Calibri"/>
          <w:lang w:val="es-ES_tradnl"/>
        </w:rPr>
        <w:t>sin la existencia de franjas de seguridad obligatorias</w:t>
      </w:r>
      <w:r>
        <w:rPr>
          <w:rFonts w:eastAsia="Calibri"/>
          <w:lang w:val="es-ES_tradnl"/>
        </w:rPr>
        <w:t>.</w:t>
      </w:r>
      <w:r w:rsidR="00733C4E">
        <w:rPr>
          <w:rFonts w:eastAsia="Calibri"/>
          <w:lang w:val="es-ES_tradnl"/>
        </w:rPr>
        <w:t xml:space="preserve"> </w:t>
      </w:r>
      <w:r w:rsidRPr="000A72F2">
        <w:rPr>
          <w:rFonts w:eastAsia="Calibri"/>
          <w:lang w:val="es-ES_tradnl"/>
        </w:rPr>
        <w:t xml:space="preserve">El recurso se </w:t>
      </w:r>
      <w:r w:rsidR="00C509AA" w:rsidRPr="000A72F2">
        <w:rPr>
          <w:rFonts w:eastAsia="Calibri"/>
          <w:lang w:val="es-ES_tradnl"/>
        </w:rPr>
        <w:t>fundament</w:t>
      </w:r>
      <w:r w:rsidR="00C509AA">
        <w:rPr>
          <w:rFonts w:eastAsia="Calibri"/>
          <w:lang w:val="es-ES_tradnl"/>
        </w:rPr>
        <w:t>ó</w:t>
      </w:r>
      <w:r w:rsidRPr="000A72F2">
        <w:rPr>
          <w:rFonts w:eastAsia="Calibri"/>
          <w:lang w:val="es-ES_tradnl"/>
        </w:rPr>
        <w:t xml:space="preserve"> </w:t>
      </w:r>
      <w:r>
        <w:rPr>
          <w:rFonts w:eastAsia="Calibri"/>
          <w:lang w:val="es-ES_tradnl"/>
        </w:rPr>
        <w:t xml:space="preserve">también </w:t>
      </w:r>
      <w:r w:rsidRPr="000A72F2">
        <w:rPr>
          <w:rFonts w:eastAsia="Calibri"/>
          <w:lang w:val="es-ES_tradnl"/>
        </w:rPr>
        <w:t xml:space="preserve">en </w:t>
      </w:r>
      <w:r w:rsidR="00733C4E">
        <w:rPr>
          <w:rFonts w:eastAsia="Calibri"/>
          <w:lang w:val="es-ES_tradnl"/>
        </w:rPr>
        <w:t>la</w:t>
      </w:r>
      <w:r w:rsidR="004240AA">
        <w:rPr>
          <w:rFonts w:eastAsia="Calibri"/>
          <w:lang w:val="es-ES_tradnl"/>
        </w:rPr>
        <w:t xml:space="preserve"> falta de control de la tenencia y propiedad de los lotes </w:t>
      </w:r>
      <w:r>
        <w:rPr>
          <w:rFonts w:eastAsia="Calibri"/>
          <w:lang w:val="es-ES_tradnl"/>
        </w:rPr>
        <w:t>en el interior</w:t>
      </w:r>
      <w:r w:rsidR="004240AA">
        <w:rPr>
          <w:rFonts w:eastAsia="Calibri"/>
          <w:lang w:val="es-ES_tradnl"/>
        </w:rPr>
        <w:t xml:space="preserve"> de la Colonia</w:t>
      </w:r>
      <w:r>
        <w:rPr>
          <w:rFonts w:eastAsia="Calibri"/>
          <w:lang w:val="es-ES_tradnl"/>
        </w:rPr>
        <w:t>, posibilitando transacciones de tierras a personas que no deberían beneficiarse de ellas para el cultivo de soja</w:t>
      </w:r>
      <w:r w:rsidR="00BD1125">
        <w:rPr>
          <w:rFonts w:eastAsia="Calibri"/>
          <w:lang w:val="es-ES_tradnl"/>
        </w:rPr>
        <w:t xml:space="preserve">. </w:t>
      </w:r>
      <w:r>
        <w:rPr>
          <w:rFonts w:eastAsia="Calibri"/>
          <w:lang w:val="es-ES_tradnl"/>
        </w:rPr>
        <w:t>L</w:t>
      </w:r>
      <w:r w:rsidR="00BD1125">
        <w:rPr>
          <w:rFonts w:eastAsia="Calibri"/>
          <w:lang w:val="es-ES_tradnl"/>
        </w:rPr>
        <w:t xml:space="preserve">os autores alegaban la violación </w:t>
      </w:r>
      <w:r w:rsidR="00515E5D" w:rsidRPr="00614542">
        <w:rPr>
          <w:rFonts w:eastAsia="Calibri"/>
          <w:lang w:val="es-ES_tradnl"/>
        </w:rPr>
        <w:t>de</w:t>
      </w:r>
      <w:r w:rsidR="00117F4C">
        <w:rPr>
          <w:rFonts w:eastAsia="Calibri"/>
          <w:lang w:val="es-ES_tradnl"/>
        </w:rPr>
        <w:t xml:space="preserve"> </w:t>
      </w:r>
      <w:r w:rsidR="00515E5D" w:rsidRPr="00614542">
        <w:rPr>
          <w:rFonts w:eastAsia="Calibri"/>
          <w:lang w:val="es-ES_tradnl"/>
        </w:rPr>
        <w:t>l</w:t>
      </w:r>
      <w:r w:rsidR="00117F4C">
        <w:rPr>
          <w:rFonts w:eastAsia="Calibri"/>
          <w:lang w:val="es-ES_tradnl"/>
        </w:rPr>
        <w:t>os</w:t>
      </w:r>
      <w:r w:rsidR="00515E5D" w:rsidRPr="00614542">
        <w:rPr>
          <w:rFonts w:eastAsia="Calibri"/>
          <w:lang w:val="es-ES_tradnl"/>
        </w:rPr>
        <w:t xml:space="preserve"> derecho</w:t>
      </w:r>
      <w:r w:rsidR="00117F4C">
        <w:rPr>
          <w:rFonts w:eastAsia="Calibri"/>
          <w:lang w:val="es-ES_tradnl"/>
        </w:rPr>
        <w:t>s</w:t>
      </w:r>
      <w:r w:rsidR="00515E5D" w:rsidRPr="00614542">
        <w:rPr>
          <w:rFonts w:eastAsia="Calibri"/>
          <w:lang w:val="es-ES_tradnl"/>
        </w:rPr>
        <w:t xml:space="preserve"> a la vida</w:t>
      </w:r>
      <w:r w:rsidR="00515E5D">
        <w:rPr>
          <w:rFonts w:eastAsia="Calibri"/>
          <w:lang w:val="es-ES_tradnl"/>
        </w:rPr>
        <w:t xml:space="preserve">, </w:t>
      </w:r>
      <w:r w:rsidR="00DD426B" w:rsidRPr="00614542">
        <w:rPr>
          <w:rFonts w:eastAsia="Calibri"/>
          <w:lang w:val="es-ES_tradnl"/>
        </w:rPr>
        <w:t xml:space="preserve">a vivir en un ambiente saludable, </w:t>
      </w:r>
      <w:r w:rsidR="00117F4C">
        <w:rPr>
          <w:rFonts w:eastAsia="Calibri"/>
          <w:lang w:val="es-ES_tradnl"/>
        </w:rPr>
        <w:t xml:space="preserve">a una </w:t>
      </w:r>
      <w:r w:rsidR="00DD426B" w:rsidRPr="00614542">
        <w:rPr>
          <w:rFonts w:eastAsia="Calibri"/>
          <w:lang w:val="es-ES_tradnl"/>
        </w:rPr>
        <w:t>alimentación adecuada, agua, salud y calidad de vida</w:t>
      </w:r>
      <w:r w:rsidR="00C45439" w:rsidRPr="00614542">
        <w:rPr>
          <w:rFonts w:eastAsia="Calibri"/>
          <w:lang w:val="es-ES_tradnl"/>
        </w:rPr>
        <w:t xml:space="preserve">, </w:t>
      </w:r>
      <w:r w:rsidR="00E31962">
        <w:rPr>
          <w:rFonts w:eastAsia="Calibri"/>
          <w:lang w:val="es-ES_tradnl"/>
        </w:rPr>
        <w:t xml:space="preserve">todos derechos de rango constitucional. </w:t>
      </w:r>
    </w:p>
    <w:p w:rsidR="006B1EE1" w:rsidRDefault="000A72F2" w:rsidP="0007741F">
      <w:pPr>
        <w:pStyle w:val="SingleTxtG"/>
        <w:rPr>
          <w:rFonts w:eastAsia="Calibri"/>
          <w:lang w:val="es-ES_tradnl"/>
        </w:rPr>
      </w:pPr>
      <w:r>
        <w:rPr>
          <w:rFonts w:eastAsia="Calibri"/>
          <w:lang w:val="es-ES_tradnl"/>
        </w:rPr>
        <w:t>2.</w:t>
      </w:r>
      <w:r w:rsidR="00B605DC">
        <w:rPr>
          <w:rFonts w:eastAsia="Calibri"/>
          <w:lang w:val="es-ES_tradnl"/>
        </w:rPr>
        <w:t>18</w:t>
      </w:r>
      <w:r w:rsidR="0090260D">
        <w:rPr>
          <w:rFonts w:eastAsia="Calibri"/>
          <w:lang w:val="es-ES_tradnl"/>
        </w:rPr>
        <w:tab/>
      </w:r>
      <w:r w:rsidR="003E77B3">
        <w:rPr>
          <w:rFonts w:eastAsia="Calibri"/>
          <w:lang w:val="es-ES_tradnl"/>
        </w:rPr>
        <w:t>E</w:t>
      </w:r>
      <w:r w:rsidR="0058571F">
        <w:rPr>
          <w:rFonts w:eastAsia="Calibri"/>
          <w:lang w:val="es-ES_tradnl"/>
        </w:rPr>
        <w:t xml:space="preserve">l </w:t>
      </w:r>
      <w:r w:rsidR="002C3255">
        <w:rPr>
          <w:rFonts w:eastAsia="Calibri"/>
          <w:lang w:val="es-ES_tradnl"/>
        </w:rPr>
        <w:t>mismo día</w:t>
      </w:r>
      <w:r w:rsidR="0058571F">
        <w:rPr>
          <w:rFonts w:eastAsia="Calibri"/>
          <w:lang w:val="es-ES_tradnl"/>
        </w:rPr>
        <w:t>, e</w:t>
      </w:r>
      <w:r w:rsidR="003E77B3">
        <w:rPr>
          <w:rFonts w:eastAsia="Calibri"/>
          <w:lang w:val="es-ES_tradnl"/>
        </w:rPr>
        <w:t xml:space="preserve">l </w:t>
      </w:r>
      <w:r w:rsidR="003E77B3" w:rsidRPr="000C2A27">
        <w:rPr>
          <w:rFonts w:eastAsia="Calibri"/>
          <w:lang w:val="es-ES_tradnl"/>
        </w:rPr>
        <w:t>Juzgado</w:t>
      </w:r>
      <w:r w:rsidR="002D1809" w:rsidRPr="000C2A27">
        <w:rPr>
          <w:rFonts w:eastAsia="Calibri"/>
          <w:lang w:val="es-ES_tradnl"/>
        </w:rPr>
        <w:t xml:space="preserve"> </w:t>
      </w:r>
      <w:r w:rsidR="00EC62BB" w:rsidRPr="000C2A27">
        <w:rPr>
          <w:rFonts w:eastAsia="Calibri"/>
          <w:lang w:val="es-ES_tradnl"/>
        </w:rPr>
        <w:t>Penal de Garantías n</w:t>
      </w:r>
      <w:r w:rsidR="00B9564D">
        <w:rPr>
          <w:rFonts w:eastAsia="Calibri"/>
          <w:lang w:val="es-ES_tradnl"/>
        </w:rPr>
        <w:t>úmero</w:t>
      </w:r>
      <w:r w:rsidR="00EC62BB" w:rsidRPr="000C2A27">
        <w:rPr>
          <w:rFonts w:eastAsia="Calibri"/>
          <w:lang w:val="es-ES_tradnl"/>
        </w:rPr>
        <w:t xml:space="preserve"> 9</w:t>
      </w:r>
      <w:r w:rsidR="0061750E" w:rsidRPr="000C2A27">
        <w:rPr>
          <w:rFonts w:eastAsia="Calibri"/>
          <w:lang w:val="es-ES_tradnl"/>
        </w:rPr>
        <w:t xml:space="preserve"> </w:t>
      </w:r>
      <w:r w:rsidR="004D0724" w:rsidRPr="000C2A27">
        <w:rPr>
          <w:rFonts w:eastAsia="Calibri"/>
          <w:lang w:val="es-ES_tradnl"/>
        </w:rPr>
        <w:t xml:space="preserve">de </w:t>
      </w:r>
      <w:r w:rsidR="004D0724" w:rsidRPr="008C56C8">
        <w:rPr>
          <w:rFonts w:eastAsia="Calibri"/>
          <w:lang w:val="es-ES_tradnl"/>
        </w:rPr>
        <w:t>Asunción</w:t>
      </w:r>
      <w:r w:rsidR="003E77B3">
        <w:rPr>
          <w:rFonts w:eastAsia="Calibri"/>
          <w:lang w:val="es-ES_tradnl"/>
        </w:rPr>
        <w:t xml:space="preserve"> </w:t>
      </w:r>
      <w:r w:rsidR="00883E24">
        <w:rPr>
          <w:rFonts w:eastAsia="Calibri"/>
          <w:lang w:val="es-ES_tradnl"/>
        </w:rPr>
        <w:t>admitió el</w:t>
      </w:r>
      <w:r w:rsidR="003D0C34">
        <w:rPr>
          <w:rFonts w:eastAsia="Calibri"/>
          <w:lang w:val="es-ES_tradnl"/>
        </w:rPr>
        <w:t xml:space="preserve"> recurso</w:t>
      </w:r>
      <w:r w:rsidR="003E77B3">
        <w:rPr>
          <w:rFonts w:eastAsia="Calibri"/>
          <w:lang w:val="es-ES_tradnl"/>
        </w:rPr>
        <w:t>,</w:t>
      </w:r>
      <w:r w:rsidR="003D0C34">
        <w:rPr>
          <w:rStyle w:val="FootnoteReference"/>
          <w:rFonts w:eastAsia="Calibri"/>
          <w:lang w:val="es-ES_tradnl"/>
        </w:rPr>
        <w:footnoteReference w:id="13"/>
      </w:r>
      <w:r w:rsidR="003E77B3">
        <w:rPr>
          <w:rFonts w:eastAsia="Calibri"/>
          <w:lang w:val="es-ES_tradnl"/>
        </w:rPr>
        <w:t xml:space="preserve"> </w:t>
      </w:r>
      <w:r w:rsidR="00883E24">
        <w:rPr>
          <w:rFonts w:eastAsia="Calibri"/>
          <w:lang w:val="es-ES_tradnl"/>
        </w:rPr>
        <w:t>y requirió</w:t>
      </w:r>
      <w:r w:rsidR="003E77B3">
        <w:rPr>
          <w:rFonts w:eastAsia="Calibri"/>
          <w:lang w:val="es-ES_tradnl"/>
        </w:rPr>
        <w:t xml:space="preserve"> a los entes demandados que present</w:t>
      </w:r>
      <w:r w:rsidR="003863E4">
        <w:rPr>
          <w:rFonts w:eastAsia="Calibri"/>
          <w:lang w:val="es-ES_tradnl"/>
        </w:rPr>
        <w:t>ara</w:t>
      </w:r>
      <w:r w:rsidR="003E77B3">
        <w:rPr>
          <w:rFonts w:eastAsia="Calibri"/>
          <w:lang w:val="es-ES_tradnl"/>
        </w:rPr>
        <w:t>n un informe.</w:t>
      </w:r>
      <w:r w:rsidR="00F1287E">
        <w:rPr>
          <w:rFonts w:eastAsia="Calibri"/>
          <w:lang w:val="es-ES_tradnl"/>
        </w:rPr>
        <w:t xml:space="preserve"> El MAG aleg</w:t>
      </w:r>
      <w:r w:rsidR="00E06551">
        <w:rPr>
          <w:rFonts w:eastAsia="Calibri"/>
          <w:lang w:val="es-ES_tradnl"/>
        </w:rPr>
        <w:t>ó</w:t>
      </w:r>
      <w:r w:rsidR="00F1287E">
        <w:rPr>
          <w:rFonts w:eastAsia="Calibri"/>
          <w:lang w:val="es-ES_tradnl"/>
        </w:rPr>
        <w:t xml:space="preserve"> falta de elementos probatorios</w:t>
      </w:r>
      <w:r w:rsidR="00B5729E">
        <w:rPr>
          <w:rFonts w:eastAsia="Calibri"/>
          <w:lang w:val="es-ES_tradnl"/>
        </w:rPr>
        <w:t xml:space="preserve"> y </w:t>
      </w:r>
      <w:r w:rsidR="00A22334">
        <w:rPr>
          <w:rFonts w:eastAsia="Calibri"/>
          <w:lang w:val="es-ES_tradnl"/>
        </w:rPr>
        <w:t>señal</w:t>
      </w:r>
      <w:r w:rsidR="00CC4554">
        <w:rPr>
          <w:rFonts w:eastAsia="Calibri"/>
          <w:lang w:val="es-ES_tradnl"/>
        </w:rPr>
        <w:t>ó</w:t>
      </w:r>
      <w:r w:rsidR="00B5729E">
        <w:rPr>
          <w:rFonts w:eastAsia="Calibri"/>
          <w:lang w:val="es-ES_tradnl"/>
        </w:rPr>
        <w:t xml:space="preserve"> las responsabilidades de los otros tres entes demandados.</w:t>
      </w:r>
      <w:r w:rsidR="00D20414">
        <w:rPr>
          <w:rFonts w:eastAsia="Calibri"/>
          <w:lang w:val="es-ES_tradnl"/>
        </w:rPr>
        <w:t xml:space="preserve"> El SENAVE</w:t>
      </w:r>
      <w:r w:rsidR="007C1A2D">
        <w:rPr>
          <w:rFonts w:eastAsia="Calibri"/>
          <w:lang w:val="es-ES_tradnl"/>
        </w:rPr>
        <w:t xml:space="preserve"> informó que procedió</w:t>
      </w:r>
      <w:r w:rsidR="002C3255">
        <w:rPr>
          <w:rFonts w:eastAsia="Calibri"/>
          <w:lang w:val="es-ES_tradnl"/>
        </w:rPr>
        <w:t xml:space="preserve"> a una intervención en la zona para </w:t>
      </w:r>
      <w:r w:rsidR="002C3255">
        <w:rPr>
          <w:rFonts w:eastAsia="Calibri"/>
          <w:lang w:val="es-ES_tradnl"/>
        </w:rPr>
        <w:lastRenderedPageBreak/>
        <w:t xml:space="preserve">extraer </w:t>
      </w:r>
      <w:r w:rsidR="007C1A2D">
        <w:rPr>
          <w:rFonts w:eastAsia="Calibri"/>
          <w:lang w:val="es-ES_tradnl"/>
        </w:rPr>
        <w:t>mu</w:t>
      </w:r>
      <w:r w:rsidR="002C3255">
        <w:rPr>
          <w:rFonts w:eastAsia="Calibri"/>
          <w:lang w:val="es-ES_tradnl"/>
        </w:rPr>
        <w:t>estras de agua</w:t>
      </w:r>
      <w:r w:rsidR="004E5B60">
        <w:rPr>
          <w:rFonts w:eastAsia="Calibri"/>
          <w:lang w:val="es-ES_tradnl"/>
        </w:rPr>
        <w:t xml:space="preserve">. </w:t>
      </w:r>
      <w:r w:rsidR="00F13BBB">
        <w:rPr>
          <w:rFonts w:eastAsia="Calibri"/>
          <w:lang w:val="es-ES_tradnl"/>
        </w:rPr>
        <w:t>La SEAM</w:t>
      </w:r>
      <w:r w:rsidR="007F6C99">
        <w:rPr>
          <w:rFonts w:eastAsia="Calibri"/>
          <w:lang w:val="es-ES_tradnl"/>
        </w:rPr>
        <w:t xml:space="preserve"> </w:t>
      </w:r>
      <w:r w:rsidR="00252C65">
        <w:rPr>
          <w:rFonts w:eastAsia="Calibri"/>
          <w:lang w:val="es-ES_tradnl"/>
        </w:rPr>
        <w:t>inform</w:t>
      </w:r>
      <w:r w:rsidR="00D211B0">
        <w:rPr>
          <w:rFonts w:eastAsia="Calibri"/>
          <w:lang w:val="es-ES_tradnl"/>
        </w:rPr>
        <w:t xml:space="preserve">ó de sus actuaciones </w:t>
      </w:r>
      <w:r w:rsidR="00252C65">
        <w:rPr>
          <w:rFonts w:eastAsia="Calibri"/>
          <w:lang w:val="es-ES_tradnl"/>
        </w:rPr>
        <w:t xml:space="preserve">y </w:t>
      </w:r>
      <w:r w:rsidR="007F6C99">
        <w:rPr>
          <w:rFonts w:eastAsia="Calibri"/>
          <w:lang w:val="es-ES_tradnl"/>
        </w:rPr>
        <w:t>reconoció su responsabilidad en la omisión de controles.</w:t>
      </w:r>
      <w:r w:rsidR="00A51957">
        <w:rPr>
          <w:rStyle w:val="FootnoteReference"/>
          <w:rFonts w:eastAsia="Calibri"/>
          <w:lang w:val="es-ES_tradnl"/>
        </w:rPr>
        <w:footnoteReference w:id="14"/>
      </w:r>
      <w:r w:rsidR="00FF2A22">
        <w:rPr>
          <w:rFonts w:eastAsia="Calibri"/>
          <w:lang w:val="es-ES_tradnl"/>
        </w:rPr>
        <w:t xml:space="preserve"> E</w:t>
      </w:r>
      <w:r w:rsidR="00D75C7B">
        <w:rPr>
          <w:rFonts w:eastAsia="Calibri"/>
          <w:lang w:val="es-ES_tradnl"/>
        </w:rPr>
        <w:t xml:space="preserve">l INDERT </w:t>
      </w:r>
      <w:r w:rsidR="0030196A">
        <w:rPr>
          <w:rFonts w:eastAsia="Calibri"/>
          <w:lang w:val="es-ES_tradnl"/>
        </w:rPr>
        <w:t>no</w:t>
      </w:r>
      <w:r w:rsidR="00D75C7B">
        <w:rPr>
          <w:rFonts w:eastAsia="Calibri"/>
          <w:lang w:val="es-ES_tradnl"/>
        </w:rPr>
        <w:t xml:space="preserve"> contestó. </w:t>
      </w:r>
    </w:p>
    <w:p w:rsidR="00346D57" w:rsidRDefault="00D211B0" w:rsidP="0007741F">
      <w:pPr>
        <w:pStyle w:val="SingleTxtG"/>
        <w:rPr>
          <w:rFonts w:eastAsia="Calibri"/>
          <w:lang w:val="es-ES_tradnl"/>
        </w:rPr>
      </w:pPr>
      <w:r>
        <w:rPr>
          <w:rFonts w:eastAsia="Calibri"/>
          <w:lang w:val="es-ES_tradnl"/>
        </w:rPr>
        <w:t>2.</w:t>
      </w:r>
      <w:r w:rsidR="00B605DC">
        <w:rPr>
          <w:rFonts w:eastAsia="Calibri"/>
          <w:lang w:val="es-ES_tradnl"/>
        </w:rPr>
        <w:t>19</w:t>
      </w:r>
      <w:r w:rsidR="0090260D">
        <w:rPr>
          <w:rFonts w:eastAsia="Calibri"/>
          <w:lang w:val="es-ES_tradnl"/>
        </w:rPr>
        <w:tab/>
      </w:r>
      <w:r>
        <w:rPr>
          <w:rFonts w:eastAsia="Calibri"/>
          <w:lang w:val="es-ES_tradnl"/>
        </w:rPr>
        <w:t>M</w:t>
      </w:r>
      <w:r w:rsidR="00FB177B">
        <w:rPr>
          <w:rFonts w:eastAsia="Calibri"/>
          <w:lang w:val="es-ES_tradnl"/>
        </w:rPr>
        <w:t>ediante sentencia de</w:t>
      </w:r>
      <w:r w:rsidR="00D75C7B">
        <w:rPr>
          <w:rFonts w:eastAsia="Calibri"/>
          <w:lang w:val="es-ES_tradnl"/>
        </w:rPr>
        <w:t xml:space="preserve"> 28 de enero de 2011</w:t>
      </w:r>
      <w:r w:rsidR="00FB177B">
        <w:rPr>
          <w:rFonts w:eastAsia="Calibri"/>
          <w:lang w:val="es-ES_tradnl"/>
        </w:rPr>
        <w:t>,</w:t>
      </w:r>
      <w:r w:rsidR="00D75C7B">
        <w:rPr>
          <w:rFonts w:eastAsia="Calibri"/>
          <w:lang w:val="es-ES_tradnl"/>
        </w:rPr>
        <w:t xml:space="preserve"> el Juzgado </w:t>
      </w:r>
      <w:r w:rsidR="00775E58" w:rsidRPr="00775E58">
        <w:rPr>
          <w:rFonts w:eastAsia="Calibri"/>
          <w:lang w:val="es-ES_tradnl"/>
        </w:rPr>
        <w:t xml:space="preserve">Penal de Asunción </w:t>
      </w:r>
      <w:r w:rsidR="002D1809">
        <w:rPr>
          <w:rFonts w:eastAsia="Calibri"/>
          <w:lang w:val="es-ES_tradnl"/>
        </w:rPr>
        <w:t xml:space="preserve">se declaró </w:t>
      </w:r>
      <w:r w:rsidR="000E79A1">
        <w:rPr>
          <w:rFonts w:eastAsia="Calibri"/>
          <w:lang w:val="es-ES_tradnl"/>
        </w:rPr>
        <w:t xml:space="preserve">territorialmente </w:t>
      </w:r>
      <w:r w:rsidR="002D1809">
        <w:rPr>
          <w:rFonts w:eastAsia="Calibri"/>
          <w:lang w:val="es-ES_tradnl"/>
        </w:rPr>
        <w:t>inco</w:t>
      </w:r>
      <w:r w:rsidR="00775E58">
        <w:rPr>
          <w:rFonts w:eastAsia="Calibri"/>
          <w:lang w:val="es-ES_tradnl"/>
        </w:rPr>
        <w:t>mpetente</w:t>
      </w:r>
      <w:r w:rsidR="000E79A1">
        <w:rPr>
          <w:rFonts w:eastAsia="Calibri"/>
          <w:lang w:val="es-ES_tradnl"/>
        </w:rPr>
        <w:t>,</w:t>
      </w:r>
      <w:r w:rsidR="00BA4F0A">
        <w:rPr>
          <w:rStyle w:val="FootnoteReference"/>
          <w:rFonts w:eastAsia="Calibri"/>
          <w:lang w:val="es-ES_tradnl"/>
        </w:rPr>
        <w:footnoteReference w:id="15"/>
      </w:r>
      <w:r w:rsidR="00775E58">
        <w:rPr>
          <w:rFonts w:eastAsia="Calibri"/>
          <w:lang w:val="es-ES_tradnl"/>
        </w:rPr>
        <w:t xml:space="preserve"> y remiti</w:t>
      </w:r>
      <w:r w:rsidR="002D1809">
        <w:rPr>
          <w:rFonts w:eastAsia="Calibri"/>
          <w:lang w:val="es-ES_tradnl"/>
        </w:rPr>
        <w:t xml:space="preserve">ó el </w:t>
      </w:r>
      <w:r w:rsidR="00775E58">
        <w:rPr>
          <w:rFonts w:eastAsia="Calibri"/>
          <w:lang w:val="es-ES_tradnl"/>
        </w:rPr>
        <w:t>expediente</w:t>
      </w:r>
      <w:r w:rsidR="002D1809">
        <w:rPr>
          <w:rFonts w:eastAsia="Calibri"/>
          <w:lang w:val="es-ES_tradnl"/>
        </w:rPr>
        <w:t xml:space="preserve"> al </w:t>
      </w:r>
      <w:r w:rsidR="002D1809" w:rsidRPr="00E51073">
        <w:rPr>
          <w:rFonts w:eastAsia="Calibri"/>
          <w:lang w:val="es-ES_tradnl" w:eastAsia="en-US"/>
        </w:rPr>
        <w:t>Juzgado del Distrito de Curuguaty</w:t>
      </w:r>
      <w:r w:rsidR="002D1809" w:rsidRPr="00E51073">
        <w:rPr>
          <w:rFonts w:eastAsia="Calibri"/>
          <w:lang w:val="es-ES_tradnl"/>
        </w:rPr>
        <w:t xml:space="preserve"> </w:t>
      </w:r>
      <w:r w:rsidR="008729C8">
        <w:rPr>
          <w:rFonts w:eastAsia="Calibri"/>
          <w:lang w:val="es-ES_tradnl"/>
        </w:rPr>
        <w:t xml:space="preserve">(donde se presentaron </w:t>
      </w:r>
      <w:r w:rsidR="00A31972">
        <w:rPr>
          <w:rFonts w:eastAsia="Calibri"/>
          <w:lang w:val="es-ES_tradnl"/>
        </w:rPr>
        <w:t xml:space="preserve">inicialmente </w:t>
      </w:r>
      <w:r w:rsidR="00F351CA">
        <w:rPr>
          <w:rFonts w:eastAsia="Calibri"/>
          <w:lang w:val="es-ES_tradnl"/>
        </w:rPr>
        <w:t xml:space="preserve">los accionantes </w:t>
      </w:r>
      <w:r w:rsidR="00545587">
        <w:rPr>
          <w:rFonts w:eastAsia="Calibri"/>
          <w:lang w:val="es-ES_tradnl"/>
        </w:rPr>
        <w:t xml:space="preserve">y donde </w:t>
      </w:r>
      <w:r w:rsidR="00A31972">
        <w:rPr>
          <w:rFonts w:eastAsia="Calibri"/>
          <w:lang w:val="es-ES_tradnl"/>
        </w:rPr>
        <w:t>los funcionarios se</w:t>
      </w:r>
      <w:r w:rsidR="00545587">
        <w:rPr>
          <w:rFonts w:eastAsia="Calibri"/>
          <w:lang w:val="es-ES_tradnl"/>
        </w:rPr>
        <w:t xml:space="preserve"> negaron a recibir e</w:t>
      </w:r>
      <w:r w:rsidR="00A31972">
        <w:rPr>
          <w:rFonts w:eastAsia="Calibri"/>
          <w:lang w:val="es-ES_tradnl"/>
        </w:rPr>
        <w:t>l</w:t>
      </w:r>
      <w:r w:rsidR="00545587">
        <w:rPr>
          <w:rFonts w:eastAsia="Calibri"/>
          <w:lang w:val="es-ES_tradnl"/>
        </w:rPr>
        <w:t xml:space="preserve"> </w:t>
      </w:r>
      <w:r w:rsidR="004814B7">
        <w:rPr>
          <w:rFonts w:eastAsia="Calibri"/>
          <w:lang w:val="es-ES_tradnl"/>
        </w:rPr>
        <w:t>amparo</w:t>
      </w:r>
      <w:r w:rsidR="00E51073">
        <w:rPr>
          <w:rFonts w:eastAsia="Calibri"/>
          <w:lang w:val="es-ES_tradnl"/>
        </w:rPr>
        <w:t>,</w:t>
      </w:r>
      <w:r w:rsidR="00545587">
        <w:rPr>
          <w:rFonts w:eastAsia="Calibri"/>
          <w:lang w:val="es-ES_tradnl"/>
        </w:rPr>
        <w:t xml:space="preserve"> afirmando que debían presentarlo en la capital por tratarse de una demanda </w:t>
      </w:r>
      <w:r w:rsidR="00A31972">
        <w:rPr>
          <w:rFonts w:eastAsia="Calibri"/>
          <w:lang w:val="es-ES_tradnl"/>
        </w:rPr>
        <w:t xml:space="preserve">en </w:t>
      </w:r>
      <w:r w:rsidR="00545587">
        <w:rPr>
          <w:rFonts w:eastAsia="Calibri"/>
          <w:lang w:val="es-ES_tradnl"/>
        </w:rPr>
        <w:t xml:space="preserve">contra </w:t>
      </w:r>
      <w:r w:rsidR="00A31972">
        <w:rPr>
          <w:rFonts w:eastAsia="Calibri"/>
          <w:lang w:val="es-ES_tradnl"/>
        </w:rPr>
        <w:t xml:space="preserve">de </w:t>
      </w:r>
      <w:r>
        <w:rPr>
          <w:rFonts w:eastAsia="Calibri"/>
          <w:lang w:val="es-ES_tradnl"/>
        </w:rPr>
        <w:t>instituciones</w:t>
      </w:r>
      <w:r w:rsidR="00545587">
        <w:rPr>
          <w:rFonts w:eastAsia="Calibri"/>
          <w:lang w:val="es-ES_tradnl"/>
        </w:rPr>
        <w:t xml:space="preserve"> estatales</w:t>
      </w:r>
      <w:r w:rsidR="00E51073">
        <w:rPr>
          <w:rFonts w:eastAsia="Calibri"/>
          <w:lang w:val="es-ES_tradnl"/>
        </w:rPr>
        <w:t>)</w:t>
      </w:r>
      <w:r w:rsidR="002F2805">
        <w:rPr>
          <w:rFonts w:eastAsia="Calibri"/>
          <w:lang w:val="es-ES_tradnl"/>
        </w:rPr>
        <w:t>.</w:t>
      </w:r>
      <w:r w:rsidR="002D1809">
        <w:rPr>
          <w:rFonts w:eastAsia="Calibri"/>
          <w:lang w:val="es-ES_tradnl"/>
        </w:rPr>
        <w:t xml:space="preserve"> </w:t>
      </w:r>
    </w:p>
    <w:p w:rsidR="00A07F36" w:rsidRDefault="00D211B0" w:rsidP="003863E4">
      <w:pPr>
        <w:pStyle w:val="SingleTxtG"/>
        <w:rPr>
          <w:lang w:val="es-ES"/>
        </w:rPr>
      </w:pPr>
      <w:r>
        <w:rPr>
          <w:rFonts w:eastAsia="Calibri"/>
          <w:lang w:val="es-ES_tradnl"/>
        </w:rPr>
        <w:t>2.</w:t>
      </w:r>
      <w:r w:rsidR="00B605DC">
        <w:rPr>
          <w:rFonts w:eastAsia="Calibri"/>
          <w:lang w:val="es-ES_tradnl"/>
        </w:rPr>
        <w:t>20</w:t>
      </w:r>
      <w:r w:rsidR="00EE2E10">
        <w:rPr>
          <w:rFonts w:eastAsia="Calibri"/>
          <w:lang w:val="es-ES_tradnl"/>
        </w:rPr>
        <w:tab/>
      </w:r>
      <w:r w:rsidR="002F2805">
        <w:rPr>
          <w:rFonts w:eastAsia="Calibri"/>
          <w:lang w:val="es-ES_tradnl"/>
        </w:rPr>
        <w:t>E</w:t>
      </w:r>
      <w:r w:rsidR="00D04E91">
        <w:rPr>
          <w:rFonts w:eastAsia="Calibri"/>
          <w:lang w:val="es-ES_tradnl"/>
        </w:rPr>
        <w:t xml:space="preserve">l 15 de abril </w:t>
      </w:r>
      <w:r w:rsidR="0018723E">
        <w:rPr>
          <w:rFonts w:eastAsia="Calibri"/>
          <w:lang w:val="es-ES_tradnl"/>
        </w:rPr>
        <w:t>de 2011</w:t>
      </w:r>
      <w:r w:rsidR="00066AB3">
        <w:rPr>
          <w:rFonts w:eastAsia="Calibri"/>
          <w:lang w:val="es-ES_tradnl"/>
        </w:rPr>
        <w:t>,</w:t>
      </w:r>
      <w:r w:rsidR="0018723E">
        <w:rPr>
          <w:rFonts w:eastAsia="Calibri"/>
          <w:lang w:val="es-ES_tradnl"/>
        </w:rPr>
        <w:t xml:space="preserve"> el Juzgado </w:t>
      </w:r>
      <w:r w:rsidR="006713C1" w:rsidRPr="006713C1">
        <w:rPr>
          <w:rFonts w:eastAsia="Calibri"/>
          <w:lang w:val="es-ES_tradnl"/>
        </w:rPr>
        <w:t xml:space="preserve">del Distrito de Curuguaty </w:t>
      </w:r>
      <w:r w:rsidR="0018723E">
        <w:rPr>
          <w:rFonts w:eastAsia="Calibri"/>
          <w:lang w:val="es-ES_tradnl"/>
        </w:rPr>
        <w:t xml:space="preserve">resolvió </w:t>
      </w:r>
      <w:r w:rsidR="006A52F2">
        <w:rPr>
          <w:rFonts w:eastAsia="Calibri"/>
          <w:lang w:val="es-ES_tradnl"/>
        </w:rPr>
        <w:t xml:space="preserve">declarar </w:t>
      </w:r>
      <w:r w:rsidR="00066AB3">
        <w:rPr>
          <w:rFonts w:eastAsia="Calibri"/>
          <w:lang w:val="es-ES_tradnl"/>
        </w:rPr>
        <w:t xml:space="preserve">la demanda </w:t>
      </w:r>
      <w:r w:rsidR="006A52F2">
        <w:rPr>
          <w:rFonts w:eastAsia="Calibri"/>
          <w:lang w:val="es-ES_tradnl"/>
        </w:rPr>
        <w:t xml:space="preserve">improcedente con respecto al INDERT y </w:t>
      </w:r>
      <w:r w:rsidR="009A7B84">
        <w:rPr>
          <w:rFonts w:eastAsia="Calibri"/>
          <w:lang w:val="es-ES_tradnl"/>
        </w:rPr>
        <w:t>a</w:t>
      </w:r>
      <w:r w:rsidR="006A52F2">
        <w:rPr>
          <w:rFonts w:eastAsia="Calibri"/>
          <w:lang w:val="es-ES_tradnl"/>
        </w:rPr>
        <w:t>l MAG</w:t>
      </w:r>
      <w:r w:rsidR="00C624AC">
        <w:rPr>
          <w:rFonts w:eastAsia="Calibri"/>
          <w:lang w:val="es-ES_tradnl"/>
        </w:rPr>
        <w:t>,</w:t>
      </w:r>
      <w:r w:rsidR="006A52F2">
        <w:rPr>
          <w:rFonts w:eastAsia="Calibri"/>
          <w:lang w:val="es-ES_tradnl"/>
        </w:rPr>
        <w:t xml:space="preserve"> </w:t>
      </w:r>
      <w:r w:rsidR="009A7B84">
        <w:rPr>
          <w:rFonts w:eastAsia="Calibri"/>
          <w:lang w:val="es-ES_tradnl"/>
        </w:rPr>
        <w:t>por no ser</w:t>
      </w:r>
      <w:r w:rsidR="006A52F2">
        <w:rPr>
          <w:rFonts w:eastAsia="Calibri"/>
          <w:lang w:val="es-ES_tradnl"/>
        </w:rPr>
        <w:t xml:space="preserve"> instituciones encargadas del control de cumplimiento de las medidas de seguridad de aplicación de productos fitosanitarios</w:t>
      </w:r>
      <w:r w:rsidR="00D749BB">
        <w:rPr>
          <w:rFonts w:eastAsia="Calibri"/>
          <w:lang w:val="es-ES_tradnl"/>
        </w:rPr>
        <w:t xml:space="preserve">. </w:t>
      </w:r>
      <w:r w:rsidR="00F914B8">
        <w:rPr>
          <w:rFonts w:eastAsia="Calibri"/>
          <w:lang w:val="es-ES_tradnl"/>
        </w:rPr>
        <w:t>E</w:t>
      </w:r>
      <w:r w:rsidR="00D749BB" w:rsidRPr="00D749BB">
        <w:rPr>
          <w:rFonts w:eastAsia="Calibri"/>
          <w:lang w:val="es-ES_tradnl"/>
        </w:rPr>
        <w:t xml:space="preserve">l Juzgado </w:t>
      </w:r>
      <w:r w:rsidR="003863E4">
        <w:rPr>
          <w:rFonts w:eastAsia="Calibri"/>
          <w:lang w:val="es-ES_tradnl"/>
        </w:rPr>
        <w:t xml:space="preserve">admitió </w:t>
      </w:r>
      <w:r w:rsidR="004F1022">
        <w:rPr>
          <w:rFonts w:eastAsia="Calibri"/>
          <w:lang w:val="es-ES_tradnl"/>
        </w:rPr>
        <w:t>parcialmente</w:t>
      </w:r>
      <w:r w:rsidR="0018723E">
        <w:rPr>
          <w:rFonts w:eastAsia="Calibri"/>
          <w:lang w:val="es-ES_tradnl"/>
        </w:rPr>
        <w:t xml:space="preserve"> </w:t>
      </w:r>
      <w:r w:rsidR="003863E4">
        <w:rPr>
          <w:rFonts w:eastAsia="Calibri"/>
          <w:lang w:val="es-ES_tradnl"/>
        </w:rPr>
        <w:t>e</w:t>
      </w:r>
      <w:r w:rsidR="0018723E">
        <w:rPr>
          <w:rFonts w:eastAsia="Calibri"/>
          <w:lang w:val="es-ES_tradnl"/>
        </w:rPr>
        <w:t xml:space="preserve">l </w:t>
      </w:r>
      <w:r w:rsidR="008471B2">
        <w:rPr>
          <w:rFonts w:eastAsia="Calibri"/>
          <w:lang w:val="es-ES_tradnl"/>
        </w:rPr>
        <w:t>recurso</w:t>
      </w:r>
      <w:r w:rsidR="008C6BCE">
        <w:rPr>
          <w:rFonts w:eastAsia="Calibri"/>
          <w:lang w:val="es-ES_tradnl"/>
        </w:rPr>
        <w:t xml:space="preserve"> en relación con</w:t>
      </w:r>
      <w:r w:rsidR="00496397">
        <w:rPr>
          <w:rFonts w:eastAsia="Calibri"/>
          <w:lang w:val="es-ES_tradnl"/>
        </w:rPr>
        <w:t xml:space="preserve"> el</w:t>
      </w:r>
      <w:r w:rsidR="008C6BCE">
        <w:rPr>
          <w:rFonts w:eastAsia="Calibri"/>
          <w:lang w:val="es-ES_tradnl"/>
        </w:rPr>
        <w:t xml:space="preserve"> </w:t>
      </w:r>
      <w:r w:rsidR="0018723E">
        <w:rPr>
          <w:rFonts w:eastAsia="Calibri"/>
          <w:lang w:val="es-ES_tradnl"/>
        </w:rPr>
        <w:t xml:space="preserve">SENAVE </w:t>
      </w:r>
      <w:r w:rsidR="004C1C73">
        <w:rPr>
          <w:rFonts w:eastAsia="Calibri"/>
          <w:lang w:val="es-ES_tradnl"/>
        </w:rPr>
        <w:t>y</w:t>
      </w:r>
      <w:r w:rsidR="00496397">
        <w:rPr>
          <w:rFonts w:eastAsia="Calibri"/>
          <w:lang w:val="es-ES_tradnl"/>
        </w:rPr>
        <w:t xml:space="preserve"> la</w:t>
      </w:r>
      <w:r w:rsidR="004C1C73">
        <w:rPr>
          <w:rFonts w:eastAsia="Calibri"/>
          <w:lang w:val="es-ES_tradnl"/>
        </w:rPr>
        <w:t xml:space="preserve"> SEAM.</w:t>
      </w:r>
      <w:r w:rsidR="00C509AA">
        <w:rPr>
          <w:rFonts w:eastAsia="Calibri"/>
          <w:lang w:val="es-ES_tradnl"/>
        </w:rPr>
        <w:t xml:space="preserve"> </w:t>
      </w:r>
      <w:r w:rsidR="00496397">
        <w:rPr>
          <w:rFonts w:eastAsia="Calibri"/>
          <w:lang w:val="es-ES_tradnl"/>
        </w:rPr>
        <w:t>L</w:t>
      </w:r>
      <w:r w:rsidR="004C1C73">
        <w:rPr>
          <w:rFonts w:eastAsia="Calibri"/>
          <w:lang w:val="es-ES_tradnl"/>
        </w:rPr>
        <w:t>a resolución observ</w:t>
      </w:r>
      <w:r w:rsidR="003863E4">
        <w:rPr>
          <w:rFonts w:eastAsia="Calibri"/>
          <w:lang w:val="es-ES_tradnl"/>
        </w:rPr>
        <w:t>ó</w:t>
      </w:r>
      <w:r w:rsidR="004C1C73">
        <w:rPr>
          <w:rFonts w:eastAsia="Calibri"/>
          <w:lang w:val="es-ES_tradnl"/>
        </w:rPr>
        <w:t xml:space="preserve"> </w:t>
      </w:r>
      <w:r w:rsidR="00625BBC">
        <w:rPr>
          <w:rFonts w:eastAsia="Calibri"/>
          <w:lang w:val="es-ES_tradnl"/>
        </w:rPr>
        <w:t xml:space="preserve">no solamente </w:t>
      </w:r>
      <w:r w:rsidR="00EC4525">
        <w:rPr>
          <w:rFonts w:eastAsia="Calibri"/>
          <w:lang w:val="es-ES_tradnl"/>
        </w:rPr>
        <w:t xml:space="preserve">que </w:t>
      </w:r>
      <w:r w:rsidR="00496397">
        <w:rPr>
          <w:rFonts w:eastAsia="Calibri"/>
          <w:lang w:val="es-ES_tradnl"/>
        </w:rPr>
        <w:t xml:space="preserve">la SEAM </w:t>
      </w:r>
      <w:r w:rsidR="006A52F2">
        <w:rPr>
          <w:rFonts w:eastAsia="Calibri"/>
          <w:lang w:val="es-ES_tradnl"/>
        </w:rPr>
        <w:t>se allan</w:t>
      </w:r>
      <w:r w:rsidR="00104346">
        <w:rPr>
          <w:rFonts w:eastAsia="Calibri"/>
          <w:lang w:val="es-ES_tradnl"/>
        </w:rPr>
        <w:t>ó</w:t>
      </w:r>
      <w:r w:rsidR="00625BBC">
        <w:rPr>
          <w:rFonts w:eastAsia="Calibri"/>
          <w:lang w:val="es-ES_tradnl"/>
        </w:rPr>
        <w:t>, sino</w:t>
      </w:r>
      <w:r w:rsidR="00A30352">
        <w:rPr>
          <w:rFonts w:eastAsia="Calibri"/>
          <w:lang w:val="es-ES_tradnl"/>
        </w:rPr>
        <w:t xml:space="preserve"> que</w:t>
      </w:r>
      <w:r w:rsidR="00A07F36">
        <w:rPr>
          <w:rFonts w:eastAsia="Calibri"/>
          <w:lang w:val="es-ES_tradnl"/>
        </w:rPr>
        <w:t>,</w:t>
      </w:r>
      <w:r w:rsidR="00A30352">
        <w:rPr>
          <w:rFonts w:eastAsia="Calibri"/>
          <w:lang w:val="es-ES_tradnl"/>
        </w:rPr>
        <w:t xml:space="preserve"> </w:t>
      </w:r>
      <w:r w:rsidR="00EC4525">
        <w:rPr>
          <w:lang w:val="es-ES"/>
        </w:rPr>
        <w:t xml:space="preserve">debido a </w:t>
      </w:r>
      <w:r w:rsidR="00297B71">
        <w:rPr>
          <w:lang w:val="es-ES"/>
        </w:rPr>
        <w:t xml:space="preserve">sus </w:t>
      </w:r>
      <w:r w:rsidR="00EC4525">
        <w:rPr>
          <w:lang w:val="es-ES"/>
        </w:rPr>
        <w:t>omisiones en</w:t>
      </w:r>
      <w:r w:rsidR="00297B71">
        <w:rPr>
          <w:lang w:val="es-ES"/>
        </w:rPr>
        <w:t xml:space="preserve"> el cumplimiento de</w:t>
      </w:r>
      <w:r w:rsidR="00EC4525">
        <w:rPr>
          <w:lang w:val="es-ES"/>
        </w:rPr>
        <w:t xml:space="preserve"> </w:t>
      </w:r>
      <w:r w:rsidR="00297B71">
        <w:rPr>
          <w:lang w:val="es-ES"/>
        </w:rPr>
        <w:t>sus funciones</w:t>
      </w:r>
      <w:r w:rsidR="00455FF4">
        <w:rPr>
          <w:lang w:val="es-ES"/>
        </w:rPr>
        <w:t xml:space="preserve">, </w:t>
      </w:r>
      <w:r w:rsidR="00EC4525">
        <w:rPr>
          <w:lang w:val="es-ES"/>
        </w:rPr>
        <w:t>“</w:t>
      </w:r>
      <w:r w:rsidR="00711F20">
        <w:rPr>
          <w:lang w:val="es-ES"/>
        </w:rPr>
        <w:t>se ha</w:t>
      </w:r>
      <w:r w:rsidR="00A07F36">
        <w:rPr>
          <w:lang w:val="es-ES"/>
        </w:rPr>
        <w:t>n</w:t>
      </w:r>
      <w:r w:rsidR="00711F20">
        <w:rPr>
          <w:lang w:val="es-ES"/>
        </w:rPr>
        <w:t xml:space="preserve"> producido graves daños a la salud de la población de la Colonia Yerutí a consecuencia de </w:t>
      </w:r>
      <w:r w:rsidR="004E1A2C">
        <w:rPr>
          <w:lang w:val="es-ES"/>
        </w:rPr>
        <w:t>fumigaciones de plantaciones agrícolas</w:t>
      </w:r>
      <w:r w:rsidR="00455FF4">
        <w:rPr>
          <w:lang w:val="es-ES"/>
        </w:rPr>
        <w:t>”</w:t>
      </w:r>
      <w:r w:rsidR="00A07F36">
        <w:rPr>
          <w:lang w:val="es-ES"/>
        </w:rPr>
        <w:t>. Para el Juzgado,</w:t>
      </w:r>
      <w:r w:rsidR="001D04EE">
        <w:rPr>
          <w:lang w:val="es-ES"/>
        </w:rPr>
        <w:t xml:space="preserve"> </w:t>
      </w:r>
      <w:r w:rsidR="00D5332C">
        <w:rPr>
          <w:lang w:val="es-ES"/>
        </w:rPr>
        <w:t>“el Estado no ha cumplido con su obligación o deber de proteger la salud que es un derecho fundamental de la persona”</w:t>
      </w:r>
      <w:r w:rsidR="00A07F36">
        <w:rPr>
          <w:lang w:val="es-ES"/>
        </w:rPr>
        <w:t>. Asimismo, la</w:t>
      </w:r>
      <w:r w:rsidR="00D25653">
        <w:rPr>
          <w:lang w:val="es-ES"/>
        </w:rPr>
        <w:t xml:space="preserve"> situación “también violenta el derecho constitucional a ser protegid</w:t>
      </w:r>
      <w:r w:rsidR="00BF1151">
        <w:rPr>
          <w:lang w:val="es-ES"/>
        </w:rPr>
        <w:t>o</w:t>
      </w:r>
      <w:r w:rsidR="00D25653">
        <w:rPr>
          <w:lang w:val="es-ES"/>
        </w:rPr>
        <w:t xml:space="preserve"> por el Estado en su integridad física y psíquica, calidad de vida, derecho a habitar en un ambiente saludable y ecológicamente equilibrado”</w:t>
      </w:r>
      <w:r w:rsidR="00455FF4">
        <w:rPr>
          <w:lang w:val="es-ES"/>
        </w:rPr>
        <w:t>.</w:t>
      </w:r>
      <w:r w:rsidR="00840F84">
        <w:rPr>
          <w:lang w:val="es-ES"/>
        </w:rPr>
        <w:t xml:space="preserve"> </w:t>
      </w:r>
    </w:p>
    <w:p w:rsidR="006F3727" w:rsidRDefault="00A07F36" w:rsidP="00CE43BC">
      <w:pPr>
        <w:pStyle w:val="SingleTxtG"/>
        <w:rPr>
          <w:lang w:val="es-ES"/>
        </w:rPr>
      </w:pPr>
      <w:r>
        <w:rPr>
          <w:lang w:val="es-ES"/>
        </w:rPr>
        <w:t>2.</w:t>
      </w:r>
      <w:r w:rsidR="00B605DC">
        <w:rPr>
          <w:lang w:val="es-ES"/>
        </w:rPr>
        <w:t>21</w:t>
      </w:r>
      <w:r>
        <w:rPr>
          <w:lang w:val="es-ES"/>
        </w:rPr>
        <w:tab/>
      </w:r>
      <w:r w:rsidR="003863E4">
        <w:rPr>
          <w:lang w:val="es-ES"/>
        </w:rPr>
        <w:t>En</w:t>
      </w:r>
      <w:r w:rsidR="00C453F3">
        <w:rPr>
          <w:lang w:val="es-ES"/>
        </w:rPr>
        <w:t xml:space="preserve"> cuanto al SENAVE,</w:t>
      </w:r>
      <w:r w:rsidR="00C453F3" w:rsidRPr="00C85DF0">
        <w:rPr>
          <w:lang w:val="es-ES"/>
        </w:rPr>
        <w:t xml:space="preserve"> </w:t>
      </w:r>
      <w:r w:rsidR="00C85DF0">
        <w:rPr>
          <w:lang w:val="es-ES"/>
        </w:rPr>
        <w:t>l</w:t>
      </w:r>
      <w:r w:rsidR="00C85DF0" w:rsidRPr="00C85DF0">
        <w:rPr>
          <w:lang w:val="es-ES"/>
        </w:rPr>
        <w:t xml:space="preserve">a resolución </w:t>
      </w:r>
      <w:r w:rsidR="00344DF9">
        <w:rPr>
          <w:lang w:val="es-ES"/>
        </w:rPr>
        <w:t>afirma</w:t>
      </w:r>
      <w:r w:rsidR="00C85DF0" w:rsidRPr="00C85DF0">
        <w:rPr>
          <w:lang w:val="es-ES"/>
        </w:rPr>
        <w:t xml:space="preserve"> </w:t>
      </w:r>
      <w:r w:rsidR="004B14C7">
        <w:rPr>
          <w:lang w:val="es-ES"/>
        </w:rPr>
        <w:t xml:space="preserve">que </w:t>
      </w:r>
      <w:r w:rsidR="00FB3492">
        <w:rPr>
          <w:lang w:val="es-ES"/>
        </w:rPr>
        <w:t>“</w:t>
      </w:r>
      <w:r w:rsidR="006F3727">
        <w:rPr>
          <w:lang w:val="es-ES"/>
        </w:rPr>
        <w:t>es evidente que no se ha observado el control del uso de los productos</w:t>
      </w:r>
      <w:r w:rsidR="00FB3492">
        <w:rPr>
          <w:lang w:val="es-ES"/>
        </w:rPr>
        <w:t xml:space="preserve"> fitosanitarios de usos agrícolas”, que</w:t>
      </w:r>
      <w:r w:rsidR="006F3727">
        <w:rPr>
          <w:lang w:val="es-ES"/>
        </w:rPr>
        <w:t xml:space="preserve"> </w:t>
      </w:r>
      <w:r w:rsidR="00FB3492">
        <w:rPr>
          <w:lang w:val="es-ES"/>
        </w:rPr>
        <w:t>“</w:t>
      </w:r>
      <w:r w:rsidR="006F3727">
        <w:rPr>
          <w:lang w:val="es-ES"/>
        </w:rPr>
        <w:t xml:space="preserve">no se ha obligado </w:t>
      </w:r>
      <w:r w:rsidR="00E657FB">
        <w:rPr>
          <w:lang w:val="es-ES"/>
        </w:rPr>
        <w:t>a</w:t>
      </w:r>
      <w:r w:rsidR="006F3727">
        <w:rPr>
          <w:lang w:val="es-ES"/>
        </w:rPr>
        <w:t>l cumplimiento</w:t>
      </w:r>
      <w:r w:rsidR="004B14C7">
        <w:rPr>
          <w:lang w:val="es-ES"/>
        </w:rPr>
        <w:t xml:space="preserve"> </w:t>
      </w:r>
      <w:r w:rsidR="006F3727">
        <w:rPr>
          <w:lang w:val="es-ES"/>
        </w:rPr>
        <w:t>de la previsión de franja de protección</w:t>
      </w:r>
      <w:r w:rsidR="00FB3492">
        <w:rPr>
          <w:lang w:val="es-ES"/>
        </w:rPr>
        <w:t>”</w:t>
      </w:r>
      <w:r w:rsidR="006F3727">
        <w:rPr>
          <w:lang w:val="es-ES"/>
        </w:rPr>
        <w:t xml:space="preserve">, y que “el SENAVE no cumple con las funciones impuestas por la ley de su </w:t>
      </w:r>
      <w:r w:rsidR="00E657FB">
        <w:rPr>
          <w:lang w:val="es-ES"/>
        </w:rPr>
        <w:t>creación</w:t>
      </w:r>
      <w:r w:rsidR="006F3727">
        <w:rPr>
          <w:lang w:val="es-ES"/>
        </w:rPr>
        <w:t xml:space="preserve"> con relación a los grandes productores agrícolas quienes utilizan agroquímicos para la fumigación de sus plantaciones sin control alguno de dicha institución, </w:t>
      </w:r>
      <w:r w:rsidR="00344DF9">
        <w:rPr>
          <w:lang w:val="es-ES"/>
        </w:rPr>
        <w:t>impactando o causando graves dañ</w:t>
      </w:r>
      <w:r w:rsidR="006F3727">
        <w:rPr>
          <w:lang w:val="es-ES"/>
        </w:rPr>
        <w:t>os a la salud de los pobladores</w:t>
      </w:r>
      <w:r w:rsidR="00E657FB">
        <w:rPr>
          <w:lang w:val="es-ES"/>
        </w:rPr>
        <w:t>”</w:t>
      </w:r>
      <w:r w:rsidR="004B14C7" w:rsidRPr="004B14C7">
        <w:rPr>
          <w:lang w:val="es-ES"/>
        </w:rPr>
        <w:t xml:space="preserve">. </w:t>
      </w:r>
      <w:r w:rsidR="00CE43BC">
        <w:rPr>
          <w:lang w:val="es-ES"/>
        </w:rPr>
        <w:t xml:space="preserve">En definitiva, el Juzgado reconoció que “la arbitrariedad o ilegitimidad del acto se da desde el momento en que los productores agrícolas proceden a fumigar sus grandes plantaciones agrícolas sin ningún tipo de control, cuidado o protección alguna, impactando o afectando directamente en las poblaciones aledañas”. La resolución también reconoció la urgencia del caso al poder seguir causándose graves daños a la salud de los pobladores. Finalmente, afirmó que “no existe una vía ordinaria de protección del derecho lesionado, pues son las mismas instituciones </w:t>
      </w:r>
      <w:r w:rsidR="00CE43BC">
        <w:rPr>
          <w:lang w:val="es-ES"/>
        </w:rPr>
        <w:lastRenderedPageBreak/>
        <w:t>encargadas de las políticas ambientales y de fitosanitaria quienes han omitido cumplir con sus funciones”.</w:t>
      </w:r>
    </w:p>
    <w:p w:rsidR="008E5DF4" w:rsidRDefault="006068C0" w:rsidP="0007741F">
      <w:pPr>
        <w:pStyle w:val="SingleTxtG"/>
        <w:rPr>
          <w:rFonts w:eastAsia="Calibri"/>
          <w:lang w:val="es-ES_tradnl"/>
        </w:rPr>
      </w:pPr>
      <w:r>
        <w:rPr>
          <w:rFonts w:eastAsia="Calibri"/>
          <w:lang w:val="es-ES_tradnl"/>
        </w:rPr>
        <w:t>2.</w:t>
      </w:r>
      <w:r w:rsidR="00B605DC">
        <w:rPr>
          <w:rFonts w:eastAsia="Calibri"/>
          <w:lang w:val="es-ES_tradnl"/>
        </w:rPr>
        <w:t>22</w:t>
      </w:r>
      <w:r w:rsidR="00F938A2">
        <w:rPr>
          <w:rFonts w:eastAsia="Calibri"/>
          <w:lang w:val="es-ES_tradnl"/>
        </w:rPr>
        <w:tab/>
      </w:r>
      <w:r w:rsidR="00B85C50">
        <w:rPr>
          <w:rFonts w:eastAsia="Calibri"/>
          <w:lang w:val="es-ES_tradnl"/>
        </w:rPr>
        <w:t xml:space="preserve">En consecuencia, el Juzgado </w:t>
      </w:r>
      <w:r w:rsidR="0047664F">
        <w:rPr>
          <w:rFonts w:eastAsia="Calibri"/>
          <w:lang w:val="es-ES_tradnl"/>
        </w:rPr>
        <w:t>o</w:t>
      </w:r>
      <w:r w:rsidR="0047664F" w:rsidRPr="0047664F">
        <w:rPr>
          <w:rFonts w:eastAsia="Calibri"/>
          <w:lang w:val="es-ES_tradnl"/>
        </w:rPr>
        <w:t xml:space="preserve">rdenó </w:t>
      </w:r>
      <w:r w:rsidR="00AD39D2">
        <w:rPr>
          <w:rFonts w:eastAsia="Calibri"/>
          <w:lang w:val="es-ES_tradnl"/>
        </w:rPr>
        <w:t xml:space="preserve">a ambas instituciones </w:t>
      </w:r>
      <w:r w:rsidR="0047664F" w:rsidRPr="0047664F">
        <w:rPr>
          <w:rFonts w:eastAsia="Calibri"/>
          <w:lang w:val="es-ES_tradnl"/>
        </w:rPr>
        <w:t>cumplir con sus</w:t>
      </w:r>
      <w:r w:rsidR="008E5DF4">
        <w:rPr>
          <w:rFonts w:eastAsia="Calibri"/>
          <w:lang w:val="es-ES_tradnl"/>
        </w:rPr>
        <w:t xml:space="preserve"> respectivas</w:t>
      </w:r>
      <w:r w:rsidR="0047664F" w:rsidRPr="0047664F">
        <w:rPr>
          <w:rFonts w:eastAsia="Calibri"/>
          <w:lang w:val="es-ES_tradnl"/>
        </w:rPr>
        <w:t xml:space="preserve"> funciones en la </w:t>
      </w:r>
      <w:r w:rsidR="00506CD5">
        <w:rPr>
          <w:rFonts w:eastAsia="Calibri"/>
          <w:lang w:val="es-ES_tradnl"/>
        </w:rPr>
        <w:t>C</w:t>
      </w:r>
      <w:r w:rsidR="0047664F" w:rsidRPr="0047664F">
        <w:rPr>
          <w:rFonts w:eastAsia="Calibri"/>
          <w:lang w:val="es-ES_tradnl"/>
        </w:rPr>
        <w:t>olonia</w:t>
      </w:r>
      <w:r w:rsidR="003C328B">
        <w:rPr>
          <w:rFonts w:eastAsia="Calibri"/>
          <w:lang w:val="es-ES_tradnl"/>
        </w:rPr>
        <w:t xml:space="preserve">, </w:t>
      </w:r>
      <w:r w:rsidR="005B6D97">
        <w:rPr>
          <w:rFonts w:eastAsia="Calibri"/>
          <w:lang w:val="es-ES_tradnl"/>
        </w:rPr>
        <w:t>“</w:t>
      </w:r>
      <w:r w:rsidR="003C328B">
        <w:rPr>
          <w:rFonts w:eastAsia="Calibri"/>
          <w:lang w:val="es-ES_tradnl"/>
        </w:rPr>
        <w:t xml:space="preserve">planificando, ejecutando, controlando y protegiendo los recursos ambientales, imponiendo </w:t>
      </w:r>
      <w:r w:rsidR="005B6D97">
        <w:rPr>
          <w:rFonts w:eastAsia="Calibri"/>
          <w:lang w:val="es-ES_tradnl"/>
        </w:rPr>
        <w:t>el cumplimiento con la</w:t>
      </w:r>
      <w:r w:rsidR="003C328B">
        <w:rPr>
          <w:rFonts w:eastAsia="Calibri"/>
          <w:lang w:val="es-ES_tradnl"/>
        </w:rPr>
        <w:t xml:space="preserve"> franja de protección </w:t>
      </w:r>
      <w:r w:rsidR="005B6D97">
        <w:rPr>
          <w:rFonts w:eastAsia="Calibri"/>
          <w:lang w:val="es-ES_tradnl"/>
        </w:rPr>
        <w:t>o</w:t>
      </w:r>
      <w:r w:rsidR="003C328B">
        <w:rPr>
          <w:rFonts w:eastAsia="Calibri"/>
          <w:lang w:val="es-ES_tradnl"/>
        </w:rPr>
        <w:t xml:space="preserve"> barreras vivas de protección entre la zona de aplicación de productos fitosanitarios de uso agrícola y los asentamientos humanos, centros educativos, centros y puestos de salud,</w:t>
      </w:r>
      <w:r w:rsidR="005B6D97">
        <w:rPr>
          <w:rFonts w:eastAsia="Calibri"/>
          <w:lang w:val="es-ES_tradnl"/>
        </w:rPr>
        <w:t xml:space="preserve"> templos,</w:t>
      </w:r>
      <w:r w:rsidR="003C328B">
        <w:rPr>
          <w:rFonts w:eastAsia="Calibri"/>
          <w:lang w:val="es-ES_tradnl"/>
        </w:rPr>
        <w:t xml:space="preserve"> plazas, lugares de concentración pública y cursos de agua en general</w:t>
      </w:r>
      <w:r w:rsidR="005B6D97">
        <w:rPr>
          <w:rFonts w:eastAsia="Calibri"/>
          <w:lang w:val="es-ES_tradnl"/>
        </w:rPr>
        <w:t>”</w:t>
      </w:r>
      <w:r w:rsidR="00E819B3">
        <w:rPr>
          <w:rFonts w:eastAsia="Calibri"/>
          <w:lang w:val="es-ES_tradnl"/>
        </w:rPr>
        <w:t xml:space="preserve">. </w:t>
      </w:r>
    </w:p>
    <w:p w:rsidR="00BF3A9F" w:rsidRPr="00BF3A9F" w:rsidRDefault="006068C0" w:rsidP="00BF3A9F">
      <w:pPr>
        <w:pStyle w:val="SingleTxtG"/>
        <w:rPr>
          <w:rFonts w:eastAsia="Calibri"/>
          <w:lang w:val="es-ES_tradnl"/>
        </w:rPr>
      </w:pPr>
      <w:r>
        <w:rPr>
          <w:rFonts w:eastAsia="Calibri"/>
          <w:lang w:val="es-ES_tradnl"/>
        </w:rPr>
        <w:t>2.</w:t>
      </w:r>
      <w:r w:rsidR="00B605DC">
        <w:rPr>
          <w:rFonts w:eastAsia="Calibri"/>
          <w:lang w:val="es-ES_tradnl"/>
        </w:rPr>
        <w:t>23</w:t>
      </w:r>
      <w:r w:rsidR="00C10BA6">
        <w:rPr>
          <w:rFonts w:eastAsia="Calibri"/>
          <w:lang w:val="es-ES_tradnl"/>
        </w:rPr>
        <w:tab/>
      </w:r>
      <w:r w:rsidR="000515FB">
        <w:rPr>
          <w:rFonts w:eastAsia="Calibri"/>
          <w:lang w:val="es-ES_tradnl"/>
        </w:rPr>
        <w:t>L</w:t>
      </w:r>
      <w:r w:rsidR="0047664F" w:rsidRPr="0047664F">
        <w:rPr>
          <w:rFonts w:eastAsia="Calibri"/>
          <w:lang w:val="es-ES_tradnl"/>
        </w:rPr>
        <w:t xml:space="preserve">os autores sostienen que </w:t>
      </w:r>
      <w:r w:rsidR="002B41C8">
        <w:rPr>
          <w:rFonts w:eastAsia="Calibri"/>
          <w:lang w:val="es-ES_tradnl"/>
        </w:rPr>
        <w:t>no</w:t>
      </w:r>
      <w:r w:rsidR="000515FB">
        <w:rPr>
          <w:rFonts w:eastAsia="Calibri"/>
          <w:lang w:val="es-ES_tradnl"/>
        </w:rPr>
        <w:t xml:space="preserve"> se</w:t>
      </w:r>
      <w:r w:rsidR="002B41C8" w:rsidRPr="0047664F">
        <w:rPr>
          <w:rFonts w:eastAsia="Calibri"/>
          <w:lang w:val="es-ES_tradnl"/>
        </w:rPr>
        <w:t xml:space="preserve"> han adoptado medidas para </w:t>
      </w:r>
      <w:r w:rsidR="002B41C8">
        <w:rPr>
          <w:rFonts w:eastAsia="Calibri"/>
          <w:lang w:val="es-ES_tradnl"/>
        </w:rPr>
        <w:t>la ejecución de</w:t>
      </w:r>
      <w:r w:rsidR="002B41C8" w:rsidRPr="0047664F">
        <w:rPr>
          <w:rFonts w:eastAsia="Calibri"/>
          <w:lang w:val="es-ES_tradnl"/>
        </w:rPr>
        <w:t xml:space="preserve"> </w:t>
      </w:r>
      <w:r w:rsidR="00422AA5">
        <w:rPr>
          <w:rFonts w:eastAsia="Calibri"/>
          <w:lang w:val="es-ES_tradnl"/>
        </w:rPr>
        <w:t>esta</w:t>
      </w:r>
      <w:r w:rsidR="00422AA5" w:rsidRPr="0047664F">
        <w:rPr>
          <w:rFonts w:eastAsia="Calibri"/>
          <w:lang w:val="es-ES_tradnl"/>
        </w:rPr>
        <w:t xml:space="preserve"> </w:t>
      </w:r>
      <w:r w:rsidR="009C2744">
        <w:rPr>
          <w:rFonts w:eastAsia="Calibri"/>
          <w:lang w:val="es-ES_tradnl" w:eastAsia="en-US"/>
        </w:rPr>
        <w:t>resolución</w:t>
      </w:r>
      <w:r>
        <w:rPr>
          <w:rFonts w:eastAsia="Calibri"/>
          <w:lang w:val="es-ES_tradnl"/>
        </w:rPr>
        <w:t xml:space="preserve"> </w:t>
      </w:r>
      <w:r w:rsidR="007E1C85">
        <w:rPr>
          <w:rFonts w:eastAsia="Calibri"/>
          <w:lang w:val="es-ES_tradnl"/>
        </w:rPr>
        <w:t>firme</w:t>
      </w:r>
      <w:r w:rsidR="002B41C8">
        <w:rPr>
          <w:rFonts w:eastAsia="Calibri"/>
          <w:lang w:val="es-ES_tradnl"/>
        </w:rPr>
        <w:t>, la cual</w:t>
      </w:r>
      <w:r w:rsidR="002B41C8" w:rsidRPr="0047664F">
        <w:rPr>
          <w:rFonts w:eastAsia="Calibri"/>
          <w:lang w:val="es-ES_tradnl"/>
        </w:rPr>
        <w:t xml:space="preserve"> </w:t>
      </w:r>
      <w:r w:rsidR="0047664F" w:rsidRPr="0047664F">
        <w:rPr>
          <w:rFonts w:eastAsia="Calibri"/>
          <w:lang w:val="es-ES_tradnl"/>
        </w:rPr>
        <w:t xml:space="preserve">no </w:t>
      </w:r>
      <w:r w:rsidR="000515FB">
        <w:rPr>
          <w:rFonts w:eastAsia="Calibri"/>
          <w:lang w:val="es-ES_tradnl"/>
        </w:rPr>
        <w:t xml:space="preserve">se </w:t>
      </w:r>
      <w:r w:rsidR="0047664F" w:rsidRPr="0047664F">
        <w:rPr>
          <w:rFonts w:eastAsia="Calibri"/>
          <w:lang w:val="es-ES_tradnl"/>
        </w:rPr>
        <w:t>ha cumplid</w:t>
      </w:r>
      <w:r w:rsidR="000515FB">
        <w:rPr>
          <w:rFonts w:eastAsia="Calibri"/>
          <w:lang w:val="es-ES_tradnl"/>
        </w:rPr>
        <w:t>o</w:t>
      </w:r>
      <w:r w:rsidR="0047664F" w:rsidRPr="0047664F">
        <w:rPr>
          <w:rFonts w:eastAsia="Calibri"/>
          <w:lang w:val="es-ES_tradnl"/>
        </w:rPr>
        <w:t>, por lo que las fumigaciones han seguido realizándose sin medidas de protección ambiental</w:t>
      </w:r>
      <w:r w:rsidR="002464E2">
        <w:rPr>
          <w:rFonts w:eastAsia="Calibri"/>
          <w:lang w:val="es-ES_tradnl"/>
        </w:rPr>
        <w:t>.</w:t>
      </w:r>
    </w:p>
    <w:p w:rsidR="00873F3A" w:rsidRDefault="00005F6D" w:rsidP="00005F6D">
      <w:pPr>
        <w:pStyle w:val="H23G"/>
        <w:rPr>
          <w:rFonts w:eastAsia="Calibri"/>
          <w:lang w:val="es-ES_tradnl"/>
        </w:rPr>
      </w:pPr>
      <w:r>
        <w:rPr>
          <w:rFonts w:eastAsia="Calibri"/>
          <w:lang w:val="es-ES_tradnl"/>
        </w:rPr>
        <w:tab/>
      </w:r>
      <w:r>
        <w:rPr>
          <w:rFonts w:eastAsia="Calibri"/>
          <w:lang w:val="es-ES_tradnl"/>
        </w:rPr>
        <w:tab/>
      </w:r>
      <w:r w:rsidR="00873F3A" w:rsidRPr="00873F3A">
        <w:rPr>
          <w:rFonts w:eastAsia="Calibri"/>
          <w:lang w:val="es-ES_tradnl"/>
        </w:rPr>
        <w:t>La denuncia</w:t>
      </w:r>
    </w:p>
    <w:p w:rsidR="00A25089" w:rsidRDefault="00B6570F" w:rsidP="00510C85">
      <w:pPr>
        <w:spacing w:after="120"/>
        <w:ind w:left="1134" w:right="1134"/>
        <w:jc w:val="both"/>
        <w:rPr>
          <w:color w:val="000000" w:themeColor="text1"/>
          <w:lang w:val="es-ES_tradnl"/>
        </w:rPr>
      </w:pPr>
      <w:r>
        <w:rPr>
          <w:rFonts w:eastAsia="Calibri"/>
          <w:lang w:val="es-ES_tradnl" w:eastAsia="zh-CN"/>
        </w:rPr>
        <w:t>3.1</w:t>
      </w:r>
      <w:r w:rsidR="00510C85" w:rsidRPr="00510C85">
        <w:rPr>
          <w:rFonts w:eastAsia="Calibri"/>
          <w:lang w:val="es-ES_tradnl" w:eastAsia="zh-CN"/>
        </w:rPr>
        <w:tab/>
      </w:r>
      <w:r w:rsidR="00A25089" w:rsidRPr="009E0FBC">
        <w:rPr>
          <w:color w:val="000000" w:themeColor="text1"/>
          <w:lang w:val="es-ES_tradnl"/>
        </w:rPr>
        <w:t xml:space="preserve">Los autores sostienen que el Estado parte no </w:t>
      </w:r>
      <w:r w:rsidR="00D22C4D">
        <w:rPr>
          <w:color w:val="000000" w:themeColor="text1"/>
          <w:lang w:val="es-ES_tradnl"/>
        </w:rPr>
        <w:t>cumplió con su deber de proteger</w:t>
      </w:r>
      <w:r w:rsidR="00B31823">
        <w:rPr>
          <w:color w:val="000000" w:themeColor="text1"/>
          <w:lang w:val="es-ES_tradnl"/>
        </w:rPr>
        <w:t>,</w:t>
      </w:r>
      <w:r w:rsidR="00D22C4D">
        <w:rPr>
          <w:color w:val="000000" w:themeColor="text1"/>
          <w:lang w:val="es-ES_tradnl"/>
        </w:rPr>
        <w:t xml:space="preserve"> al no actuar </w:t>
      </w:r>
      <w:r w:rsidR="00A25089" w:rsidRPr="009E0FBC">
        <w:rPr>
          <w:color w:val="000000" w:themeColor="text1"/>
          <w:lang w:val="es-ES_tradnl"/>
        </w:rPr>
        <w:t>de forma diligente</w:t>
      </w:r>
      <w:r w:rsidR="00B961C7">
        <w:rPr>
          <w:color w:val="000000" w:themeColor="text1"/>
          <w:lang w:val="es-ES_tradnl"/>
        </w:rPr>
        <w:t xml:space="preserve"> y</w:t>
      </w:r>
      <w:r w:rsidR="00A25089" w:rsidRPr="009E0FBC">
        <w:rPr>
          <w:color w:val="000000" w:themeColor="text1"/>
          <w:lang w:val="es-ES_tradnl"/>
        </w:rPr>
        <w:t xml:space="preserve"> permitiendo el lanzamiento extensivo de agro-tóxicos en las </w:t>
      </w:r>
      <w:r w:rsidR="00B31823">
        <w:rPr>
          <w:color w:val="000000" w:themeColor="text1"/>
          <w:lang w:val="es-ES_tradnl"/>
        </w:rPr>
        <w:t>explotaciones agrícolas</w:t>
      </w:r>
      <w:r w:rsidR="00A25089" w:rsidRPr="009E0FBC">
        <w:rPr>
          <w:color w:val="000000" w:themeColor="text1"/>
          <w:lang w:val="es-ES_tradnl"/>
        </w:rPr>
        <w:t xml:space="preserve"> colindantes a sus viviendas sin respet</w:t>
      </w:r>
      <w:r w:rsidR="00496B91">
        <w:rPr>
          <w:color w:val="000000" w:themeColor="text1"/>
          <w:lang w:val="es-ES_tradnl"/>
        </w:rPr>
        <w:t>o de</w:t>
      </w:r>
      <w:r w:rsidR="00A25089" w:rsidRPr="009E0FBC">
        <w:rPr>
          <w:color w:val="000000" w:themeColor="text1"/>
          <w:lang w:val="es-ES_tradnl"/>
        </w:rPr>
        <w:t xml:space="preserve"> la normativa vigente. </w:t>
      </w:r>
      <w:r w:rsidR="003863E4">
        <w:rPr>
          <w:rFonts w:eastAsia="Calibri"/>
          <w:lang w:val="es-ES_tradnl"/>
        </w:rPr>
        <w:t>A</w:t>
      </w:r>
      <w:r w:rsidR="00034D8C">
        <w:rPr>
          <w:rFonts w:eastAsia="Calibri"/>
          <w:lang w:val="es-ES_tradnl"/>
        </w:rPr>
        <w:t>firman</w:t>
      </w:r>
      <w:r w:rsidR="00034D8C" w:rsidRPr="0075710E">
        <w:rPr>
          <w:rFonts w:eastAsia="Calibri"/>
          <w:lang w:val="es-ES_tradnl"/>
        </w:rPr>
        <w:t xml:space="preserve"> que </w:t>
      </w:r>
      <w:r w:rsidR="00034D8C">
        <w:rPr>
          <w:rFonts w:eastAsia="Calibri"/>
          <w:lang w:val="es-ES_tradnl"/>
        </w:rPr>
        <w:t>las violaciones son cometidas por funcionarios públicos en el ejercicio de sus funciones</w:t>
      </w:r>
      <w:r w:rsidR="00034D8C">
        <w:rPr>
          <w:color w:val="000000" w:themeColor="text1"/>
          <w:lang w:val="es-ES_tradnl"/>
        </w:rPr>
        <w:t xml:space="preserve">. </w:t>
      </w:r>
      <w:r w:rsidR="00A25089" w:rsidRPr="009E0FBC">
        <w:rPr>
          <w:color w:val="000000" w:themeColor="text1"/>
          <w:lang w:val="es-ES_tradnl"/>
        </w:rPr>
        <w:t xml:space="preserve">Como resultado, el Sr. Rubén Portillo falleció con síntomas de intoxicación por agro-tóxicos, y los autores sufrieron graves daños a su salud. </w:t>
      </w:r>
    </w:p>
    <w:p w:rsidR="00510C85" w:rsidRPr="00510C85" w:rsidRDefault="00A25089" w:rsidP="00510C85">
      <w:pPr>
        <w:spacing w:after="120"/>
        <w:ind w:left="1134" w:right="1134"/>
        <w:jc w:val="both"/>
        <w:rPr>
          <w:rFonts w:eastAsia="SimSun"/>
          <w:color w:val="808080" w:themeColor="background1" w:themeShade="80"/>
          <w:lang w:val="es-ES_tradnl" w:eastAsia="zh-CN"/>
        </w:rPr>
      </w:pPr>
      <w:r>
        <w:rPr>
          <w:rFonts w:eastAsia="Calibri"/>
          <w:lang w:val="es-ES_tradnl" w:eastAsia="zh-CN"/>
        </w:rPr>
        <w:t>3.2</w:t>
      </w:r>
      <w:r>
        <w:rPr>
          <w:rFonts w:eastAsia="Calibri"/>
          <w:lang w:val="es-ES_tradnl" w:eastAsia="zh-CN"/>
        </w:rPr>
        <w:tab/>
      </w:r>
      <w:r w:rsidR="003863E4">
        <w:rPr>
          <w:rFonts w:eastAsia="Calibri"/>
          <w:lang w:val="es-ES_tradnl" w:eastAsia="zh-CN"/>
        </w:rPr>
        <w:t>Los autores</w:t>
      </w:r>
      <w:r w:rsidR="00510C85" w:rsidRPr="00510C85">
        <w:rPr>
          <w:rFonts w:eastAsia="Calibri"/>
          <w:lang w:val="es-ES_tradnl" w:eastAsia="zh-CN"/>
        </w:rPr>
        <w:t xml:space="preserve"> defiende</w:t>
      </w:r>
      <w:r w:rsidR="0092625B">
        <w:rPr>
          <w:rFonts w:eastAsia="Calibri"/>
          <w:lang w:val="es-ES_tradnl" w:eastAsia="zh-CN"/>
        </w:rPr>
        <w:t>n</w:t>
      </w:r>
      <w:r w:rsidR="00510C85" w:rsidRPr="00510C85">
        <w:rPr>
          <w:rFonts w:eastAsia="Calibri"/>
          <w:lang w:val="es-ES_tradnl" w:eastAsia="zh-CN"/>
        </w:rPr>
        <w:t xml:space="preserve"> que el caso se enmarca dentro de un contexto ya observado por otros órganos de tratados de Naciones Unidas y mecanismos extra</w:t>
      </w:r>
      <w:r w:rsidR="008C1B34">
        <w:rPr>
          <w:rFonts w:eastAsia="Calibri"/>
          <w:lang w:val="es-ES_tradnl" w:eastAsia="zh-CN"/>
        </w:rPr>
        <w:t>-</w:t>
      </w:r>
      <w:r w:rsidR="00510C85" w:rsidRPr="00510C85">
        <w:rPr>
          <w:rFonts w:eastAsia="Calibri"/>
          <w:lang w:val="es-ES_tradnl" w:eastAsia="zh-CN"/>
        </w:rPr>
        <w:t xml:space="preserve">convencionales. </w:t>
      </w:r>
      <w:r w:rsidR="0007227A">
        <w:rPr>
          <w:rFonts w:eastAsia="Calibri"/>
          <w:lang w:val="es-ES_tradnl" w:eastAsia="zh-CN"/>
        </w:rPr>
        <w:t>E</w:t>
      </w:r>
      <w:r w:rsidR="00510C85" w:rsidRPr="00510C85">
        <w:rPr>
          <w:rFonts w:eastAsia="Calibri"/>
          <w:lang w:val="es-ES_tradnl" w:eastAsia="zh-CN"/>
        </w:rPr>
        <w:t xml:space="preserve">l </w:t>
      </w:r>
      <w:r w:rsidR="00F709F1">
        <w:rPr>
          <w:rFonts w:eastAsia="Calibri"/>
          <w:lang w:val="es-ES_tradnl" w:eastAsia="zh-CN"/>
        </w:rPr>
        <w:t>CESCR</w:t>
      </w:r>
      <w:r w:rsidR="00510C85" w:rsidRPr="00510C85">
        <w:rPr>
          <w:rFonts w:eastAsia="Calibri"/>
          <w:lang w:val="es-ES_tradnl" w:eastAsia="zh-CN"/>
        </w:rPr>
        <w:t xml:space="preserve"> </w:t>
      </w:r>
      <w:r w:rsidR="00533BE7">
        <w:rPr>
          <w:rFonts w:eastAsia="Calibri"/>
          <w:lang w:val="es-ES_tradnl" w:eastAsia="zh-CN"/>
        </w:rPr>
        <w:t>ya había</w:t>
      </w:r>
      <w:r w:rsidR="00510C85" w:rsidRPr="00510C85">
        <w:rPr>
          <w:rFonts w:eastAsia="Calibri"/>
          <w:lang w:val="es-ES_tradnl" w:eastAsia="zh-CN"/>
        </w:rPr>
        <w:t xml:space="preserve"> observado</w:t>
      </w:r>
      <w:r w:rsidR="00533BE7">
        <w:rPr>
          <w:rFonts w:eastAsia="Calibri"/>
          <w:lang w:val="es-ES_tradnl" w:eastAsia="zh-CN"/>
        </w:rPr>
        <w:t xml:space="preserve"> </w:t>
      </w:r>
      <w:r w:rsidR="00533BE7" w:rsidRPr="00510C85">
        <w:rPr>
          <w:rFonts w:eastAsia="Calibri"/>
          <w:lang w:val="es-ES_tradnl" w:eastAsia="zh-CN"/>
        </w:rPr>
        <w:t xml:space="preserve">con preocupación </w:t>
      </w:r>
      <w:r w:rsidR="00510C85" w:rsidRPr="00510C85">
        <w:rPr>
          <w:rFonts w:eastAsia="Calibri"/>
          <w:lang w:val="es-ES_tradnl" w:eastAsia="zh-CN"/>
        </w:rPr>
        <w:t xml:space="preserve">que </w:t>
      </w:r>
      <w:r w:rsidR="00533BE7">
        <w:rPr>
          <w:rFonts w:eastAsia="Calibri"/>
          <w:lang w:val="es-ES_tradnl" w:eastAsia="zh-CN"/>
        </w:rPr>
        <w:t>“</w:t>
      </w:r>
      <w:r w:rsidR="00510C85" w:rsidRPr="00510C85">
        <w:rPr>
          <w:rFonts w:eastAsia="Calibri"/>
          <w:lang w:val="es-ES_tradnl" w:eastAsia="zh-CN"/>
        </w:rPr>
        <w:t>la expansión del cultivo de soja ha traído aparejado el uso indiscriminado de agro-tóxicos, provocando muertes y enfermedades”</w:t>
      </w:r>
      <w:r w:rsidR="00AA0669">
        <w:rPr>
          <w:rFonts w:eastAsia="Calibri"/>
          <w:lang w:val="es-ES_tradnl" w:eastAsia="zh-CN"/>
        </w:rPr>
        <w:t xml:space="preserve">; </w:t>
      </w:r>
      <w:r w:rsidR="00510C85" w:rsidRPr="00510C85">
        <w:rPr>
          <w:rFonts w:eastAsia="Calibri"/>
          <w:lang w:val="es-ES_tradnl" w:eastAsia="zh-CN"/>
        </w:rPr>
        <w:t>inst</w:t>
      </w:r>
      <w:r w:rsidR="00544753">
        <w:rPr>
          <w:rFonts w:eastAsia="Calibri"/>
          <w:lang w:val="es-ES_tradnl" w:eastAsia="zh-CN"/>
        </w:rPr>
        <w:t>ó</w:t>
      </w:r>
      <w:r w:rsidR="00510C85" w:rsidRPr="00510C85">
        <w:rPr>
          <w:rFonts w:eastAsia="Calibri"/>
          <w:lang w:val="es-ES_tradnl" w:eastAsia="zh-CN"/>
        </w:rPr>
        <w:t xml:space="preserve"> al Estado parte “a que tome medidas urgentes para controlar que el cultivo de la soja no traiga aparejado detrimento en el disfrute, por parte de la población, de los derechos reconocidos por el Pacto”</w:t>
      </w:r>
      <w:r w:rsidR="00510C85" w:rsidRPr="00510C85">
        <w:rPr>
          <w:rFonts w:eastAsia="Calibri"/>
          <w:sz w:val="18"/>
          <w:vertAlign w:val="superscript"/>
          <w:lang w:val="es-ES_tradnl" w:eastAsia="zh-CN"/>
        </w:rPr>
        <w:footnoteReference w:id="16"/>
      </w:r>
      <w:r w:rsidR="00510C85" w:rsidRPr="00510C85">
        <w:rPr>
          <w:rFonts w:eastAsia="Calibri"/>
          <w:lang w:val="es-ES_tradnl" w:eastAsia="zh-CN"/>
        </w:rPr>
        <w:t xml:space="preserve">. Asimismo, </w:t>
      </w:r>
      <w:r w:rsidR="001C5429">
        <w:rPr>
          <w:rFonts w:eastAsia="Calibri"/>
          <w:lang w:val="es-ES_tradnl" w:eastAsia="zh-CN"/>
        </w:rPr>
        <w:t xml:space="preserve">el </w:t>
      </w:r>
      <w:r w:rsidR="00F709F1">
        <w:rPr>
          <w:rFonts w:eastAsia="Calibri"/>
          <w:lang w:val="es-ES_tradnl" w:eastAsia="zh-CN"/>
        </w:rPr>
        <w:t>CEDAW</w:t>
      </w:r>
      <w:r w:rsidR="001C5429">
        <w:rPr>
          <w:rFonts w:eastAsia="Calibri"/>
          <w:lang w:val="es-ES_tradnl" w:eastAsia="zh-CN"/>
        </w:rPr>
        <w:t xml:space="preserve"> expresó su inquietud por </w:t>
      </w:r>
      <w:r w:rsidR="00DB643C">
        <w:rPr>
          <w:rFonts w:eastAsia="Calibri"/>
          <w:lang w:val="es-ES_tradnl" w:eastAsia="zh-CN"/>
        </w:rPr>
        <w:t>el</w:t>
      </w:r>
      <w:r w:rsidR="00510C85" w:rsidRPr="00510C85">
        <w:rPr>
          <w:rFonts w:eastAsia="Calibri"/>
          <w:lang w:val="es-ES_tradnl" w:eastAsia="zh-CN"/>
        </w:rPr>
        <w:t xml:space="preserve"> uso indebido </w:t>
      </w:r>
      <w:r w:rsidR="00DB643C">
        <w:rPr>
          <w:rFonts w:eastAsia="Calibri"/>
          <w:lang w:val="es-ES_tradnl" w:eastAsia="zh-CN"/>
        </w:rPr>
        <w:t xml:space="preserve">de </w:t>
      </w:r>
      <w:r w:rsidR="00DB643C" w:rsidRPr="00510C85">
        <w:rPr>
          <w:rFonts w:eastAsia="Calibri"/>
          <w:lang w:val="es-ES_tradnl" w:eastAsia="zh-CN"/>
        </w:rPr>
        <w:t>productos agro</w:t>
      </w:r>
      <w:r w:rsidR="00DB643C">
        <w:rPr>
          <w:rFonts w:eastAsia="Calibri"/>
          <w:lang w:val="es-ES_tradnl" w:eastAsia="zh-CN"/>
        </w:rPr>
        <w:t>-</w:t>
      </w:r>
      <w:r w:rsidR="00DB643C" w:rsidRPr="00510C85">
        <w:rPr>
          <w:rFonts w:eastAsia="Calibri"/>
          <w:lang w:val="es-ES_tradnl" w:eastAsia="zh-CN"/>
        </w:rPr>
        <w:t xml:space="preserve">tóxicos </w:t>
      </w:r>
      <w:r w:rsidR="00BB6FA8">
        <w:rPr>
          <w:rFonts w:eastAsia="Calibri"/>
          <w:lang w:val="es-ES_tradnl" w:eastAsia="zh-CN"/>
        </w:rPr>
        <w:t>que</w:t>
      </w:r>
      <w:r w:rsidR="00510C85" w:rsidRPr="00510C85">
        <w:rPr>
          <w:rFonts w:eastAsia="Calibri"/>
          <w:lang w:val="es-ES_tradnl" w:eastAsia="zh-CN"/>
        </w:rPr>
        <w:t xml:space="preserve"> afecta negativamente la salud de las mujeres rurales</w:t>
      </w:r>
      <w:r w:rsidR="00BB6FA8">
        <w:rPr>
          <w:rFonts w:eastAsia="Calibri"/>
          <w:lang w:val="es-ES_tradnl" w:eastAsia="zh-CN"/>
        </w:rPr>
        <w:t xml:space="preserve">; </w:t>
      </w:r>
      <w:r w:rsidR="00054730">
        <w:rPr>
          <w:rFonts w:eastAsia="Calibri"/>
          <w:lang w:val="es-ES_tradnl" w:eastAsia="zh-CN"/>
        </w:rPr>
        <w:t>solicit</w:t>
      </w:r>
      <w:r w:rsidR="00BB6FA8">
        <w:rPr>
          <w:rFonts w:eastAsia="Calibri"/>
          <w:lang w:val="es-ES_tradnl" w:eastAsia="zh-CN"/>
        </w:rPr>
        <w:t>ó</w:t>
      </w:r>
      <w:r w:rsidR="00054730">
        <w:rPr>
          <w:rFonts w:eastAsia="Calibri"/>
          <w:lang w:val="es-ES_tradnl" w:eastAsia="zh-CN"/>
        </w:rPr>
        <w:t xml:space="preserve"> al Estado parte</w:t>
      </w:r>
      <w:r w:rsidR="00510C85" w:rsidRPr="00510C85">
        <w:rPr>
          <w:rFonts w:eastAsia="Calibri"/>
          <w:lang w:val="es-ES_tradnl" w:eastAsia="zh-CN"/>
        </w:rPr>
        <w:t xml:space="preserve"> </w:t>
      </w:r>
      <w:r w:rsidR="00054730">
        <w:rPr>
          <w:rFonts w:eastAsia="Calibri"/>
          <w:lang w:val="es-ES_tradnl" w:eastAsia="zh-CN"/>
        </w:rPr>
        <w:t>r</w:t>
      </w:r>
      <w:r w:rsidR="00510C85" w:rsidRPr="00510C85">
        <w:rPr>
          <w:rFonts w:eastAsia="Calibri"/>
          <w:lang w:val="es-ES_tradnl" w:eastAsia="zh-CN"/>
        </w:rPr>
        <w:t>eali</w:t>
      </w:r>
      <w:r w:rsidR="00054730">
        <w:rPr>
          <w:rFonts w:eastAsia="Calibri"/>
          <w:lang w:val="es-ES_tradnl" w:eastAsia="zh-CN"/>
        </w:rPr>
        <w:t>zar</w:t>
      </w:r>
      <w:r w:rsidR="00510C85" w:rsidRPr="00510C85">
        <w:rPr>
          <w:rFonts w:eastAsia="Calibri"/>
          <w:lang w:val="es-ES_tradnl" w:eastAsia="zh-CN"/>
        </w:rPr>
        <w:t xml:space="preserve"> un estudio amplio sobre el uso indebido de productos agro</w:t>
      </w:r>
      <w:r w:rsidR="0015132B">
        <w:rPr>
          <w:rFonts w:eastAsia="Calibri"/>
          <w:lang w:val="es-ES_tradnl" w:eastAsia="zh-CN"/>
        </w:rPr>
        <w:t>-</w:t>
      </w:r>
      <w:r w:rsidR="00510C85" w:rsidRPr="00510C85">
        <w:rPr>
          <w:rFonts w:eastAsia="Calibri"/>
          <w:lang w:val="es-ES_tradnl" w:eastAsia="zh-CN"/>
        </w:rPr>
        <w:t xml:space="preserve">tóxicos en la agricultura, </w:t>
      </w:r>
      <w:r w:rsidR="0083117E">
        <w:rPr>
          <w:rFonts w:eastAsia="Calibri"/>
          <w:lang w:val="es-ES_tradnl" w:eastAsia="zh-CN"/>
        </w:rPr>
        <w:t>“</w:t>
      </w:r>
      <w:r w:rsidR="00510C85" w:rsidRPr="00510C85">
        <w:rPr>
          <w:rFonts w:eastAsia="Calibri"/>
          <w:lang w:val="es-ES_tradnl" w:eastAsia="zh-CN"/>
        </w:rPr>
        <w:t>a fin de aplicar las medidas necesarias para erradicar su impacto en la salud de las mujeres y de sus hijos”</w:t>
      </w:r>
      <w:r w:rsidR="00510C85" w:rsidRPr="00510C85">
        <w:rPr>
          <w:rFonts w:eastAsia="Calibri"/>
          <w:sz w:val="18"/>
          <w:vertAlign w:val="superscript"/>
          <w:lang w:val="es-ES_tradnl" w:eastAsia="zh-CN"/>
        </w:rPr>
        <w:footnoteReference w:id="17"/>
      </w:r>
      <w:r w:rsidR="00510C85" w:rsidRPr="00510C85">
        <w:rPr>
          <w:rFonts w:eastAsia="Calibri"/>
          <w:lang w:val="es-ES_tradnl" w:eastAsia="zh-CN"/>
        </w:rPr>
        <w:t xml:space="preserve">. </w:t>
      </w:r>
      <w:r w:rsidR="00177BCC">
        <w:rPr>
          <w:rFonts w:eastAsia="Calibri"/>
          <w:lang w:val="es-ES_tradnl" w:eastAsia="zh-CN"/>
        </w:rPr>
        <w:t xml:space="preserve">Por su parte, el </w:t>
      </w:r>
      <w:r w:rsidR="00F709F1">
        <w:rPr>
          <w:rFonts w:eastAsia="Calibri"/>
          <w:lang w:val="es-ES_tradnl" w:eastAsia="zh-CN"/>
        </w:rPr>
        <w:t>CRC</w:t>
      </w:r>
      <w:r w:rsidR="00177BCC">
        <w:rPr>
          <w:rFonts w:eastAsia="Calibri"/>
          <w:lang w:val="es-ES_tradnl" w:eastAsia="zh-CN"/>
        </w:rPr>
        <w:t xml:space="preserve"> expresó su</w:t>
      </w:r>
      <w:r w:rsidR="00177BCC" w:rsidRPr="00177BCC">
        <w:rPr>
          <w:rFonts w:eastAsia="Calibri"/>
          <w:lang w:val="es-ES_tradnl" w:eastAsia="zh-CN"/>
        </w:rPr>
        <w:t xml:space="preserve"> </w:t>
      </w:r>
      <w:r w:rsidR="00177BCC">
        <w:rPr>
          <w:rFonts w:eastAsia="Calibri"/>
          <w:lang w:val="es-ES_tradnl" w:eastAsia="zh-CN"/>
        </w:rPr>
        <w:t>preocupación “</w:t>
      </w:r>
      <w:r w:rsidR="00177BCC" w:rsidRPr="00177BCC">
        <w:rPr>
          <w:rFonts w:eastAsia="Calibri"/>
          <w:lang w:val="es-ES_tradnl" w:eastAsia="zh-CN"/>
        </w:rPr>
        <w:t>por las consecuencias negativas de la fumigación con productos fitosanitarios que sufren las familias campesinas</w:t>
      </w:r>
      <w:r w:rsidR="00177BCC">
        <w:rPr>
          <w:rFonts w:eastAsia="Calibri"/>
          <w:lang w:val="es-ES_tradnl" w:eastAsia="zh-CN"/>
        </w:rPr>
        <w:t>”</w:t>
      </w:r>
      <w:r w:rsidR="007C1F74">
        <w:rPr>
          <w:rFonts w:eastAsia="Calibri"/>
          <w:lang w:val="es-ES_tradnl" w:eastAsia="zh-CN"/>
        </w:rPr>
        <w:t>, recomendando</w:t>
      </w:r>
      <w:r w:rsidR="00177BCC">
        <w:rPr>
          <w:rFonts w:eastAsia="Calibri"/>
          <w:lang w:val="es-ES_tradnl" w:eastAsia="zh-CN"/>
        </w:rPr>
        <w:t xml:space="preserve"> </w:t>
      </w:r>
      <w:r w:rsidR="007C1F74">
        <w:rPr>
          <w:rFonts w:eastAsia="Calibri"/>
          <w:lang w:val="es-ES_tradnl" w:eastAsia="zh-CN"/>
        </w:rPr>
        <w:t xml:space="preserve">al Estado parte adoptar </w:t>
      </w:r>
      <w:r w:rsidR="007C1F74" w:rsidRPr="007C1F74">
        <w:rPr>
          <w:rFonts w:eastAsia="Calibri"/>
          <w:lang w:val="es-ES_tradnl" w:eastAsia="zh-CN"/>
        </w:rPr>
        <w:t xml:space="preserve">todas las medidas necesarias </w:t>
      </w:r>
      <w:r w:rsidR="007C1F74">
        <w:rPr>
          <w:rFonts w:eastAsia="Calibri"/>
          <w:lang w:val="es-ES_tradnl" w:eastAsia="zh-CN"/>
        </w:rPr>
        <w:t>“</w:t>
      </w:r>
      <w:r w:rsidR="007C1F74" w:rsidRPr="007C1F74">
        <w:rPr>
          <w:rFonts w:eastAsia="Calibri"/>
          <w:lang w:val="es-ES_tradnl" w:eastAsia="zh-CN"/>
        </w:rPr>
        <w:t>para hacer frente a las consecuencias extremadamente negativas de la fumigación con productos fitosanitarios en las comunidades rurales</w:t>
      </w:r>
      <w:r w:rsidR="007C1F74">
        <w:rPr>
          <w:rFonts w:eastAsia="Calibri"/>
          <w:lang w:val="es-ES_tradnl" w:eastAsia="zh-CN"/>
        </w:rPr>
        <w:t>”</w:t>
      </w:r>
      <w:r w:rsidR="007C1F74">
        <w:rPr>
          <w:rStyle w:val="FootnoteReference"/>
          <w:rFonts w:eastAsia="Calibri"/>
          <w:lang w:val="es-ES_tradnl" w:eastAsia="zh-CN"/>
        </w:rPr>
        <w:footnoteReference w:id="18"/>
      </w:r>
      <w:r w:rsidR="007C1F74">
        <w:rPr>
          <w:rFonts w:eastAsia="Calibri"/>
          <w:lang w:val="es-ES_tradnl" w:eastAsia="zh-CN"/>
        </w:rPr>
        <w:t xml:space="preserve">. </w:t>
      </w:r>
      <w:r w:rsidR="00F063F5">
        <w:rPr>
          <w:rFonts w:eastAsia="Calibri"/>
          <w:lang w:val="es-ES_tradnl" w:eastAsia="zh-CN"/>
        </w:rPr>
        <w:t>L</w:t>
      </w:r>
      <w:r w:rsidR="00054730">
        <w:rPr>
          <w:rFonts w:eastAsia="Calibri"/>
          <w:lang w:val="es-ES_tradnl" w:eastAsia="zh-CN"/>
        </w:rPr>
        <w:t xml:space="preserve">a </w:t>
      </w:r>
      <w:r w:rsidR="00510C85" w:rsidRPr="00510C85">
        <w:rPr>
          <w:rFonts w:eastAsia="Calibri"/>
          <w:lang w:val="es-ES_tradnl" w:eastAsia="zh-CN"/>
        </w:rPr>
        <w:t>Relatora Especial sobre la extrema pobreza y los derechos humanos</w:t>
      </w:r>
      <w:r w:rsidR="00F063F5" w:rsidRPr="00F063F5">
        <w:rPr>
          <w:rFonts w:eastAsia="Calibri"/>
          <w:lang w:val="es-ES_tradnl" w:eastAsia="zh-CN"/>
        </w:rPr>
        <w:t xml:space="preserve"> </w:t>
      </w:r>
      <w:r w:rsidR="00F063F5">
        <w:rPr>
          <w:rFonts w:eastAsia="Calibri"/>
          <w:lang w:val="es-ES_tradnl" w:eastAsia="zh-CN"/>
        </w:rPr>
        <w:t>observó, en</w:t>
      </w:r>
      <w:r w:rsidR="00510C85" w:rsidRPr="00510C85">
        <w:rPr>
          <w:rFonts w:eastAsia="Calibri"/>
          <w:lang w:val="es-ES_tradnl" w:eastAsia="zh-CN"/>
        </w:rPr>
        <w:t xml:space="preserve"> su misión a Paraguay</w:t>
      </w:r>
      <w:r w:rsidR="00054730">
        <w:rPr>
          <w:rFonts w:eastAsia="Calibri"/>
          <w:lang w:val="es-ES_tradnl" w:eastAsia="zh-CN"/>
        </w:rPr>
        <w:t xml:space="preserve">, </w:t>
      </w:r>
      <w:r w:rsidR="00E627B3">
        <w:rPr>
          <w:rFonts w:eastAsia="Calibri"/>
          <w:lang w:val="es-ES_tradnl" w:eastAsia="zh-CN"/>
        </w:rPr>
        <w:t>que</w:t>
      </w:r>
      <w:r w:rsidR="00510C85" w:rsidRPr="00510C85">
        <w:rPr>
          <w:rFonts w:eastAsia="Calibri"/>
          <w:lang w:val="es-ES_tradnl" w:eastAsia="zh-CN"/>
        </w:rPr>
        <w:t xml:space="preserve"> el avance del monocultivo de la soja y el uso abusivo de sustancias </w:t>
      </w:r>
      <w:r w:rsidR="00510C85" w:rsidRPr="00510C85">
        <w:rPr>
          <w:rFonts w:eastAsia="Calibri"/>
          <w:lang w:val="es-ES_tradnl" w:eastAsia="zh-CN"/>
        </w:rPr>
        <w:lastRenderedPageBreak/>
        <w:t>agroquímicas</w:t>
      </w:r>
      <w:r w:rsidR="00981C85">
        <w:rPr>
          <w:rFonts w:eastAsia="Calibri"/>
          <w:lang w:val="es-ES_tradnl" w:eastAsia="zh-CN"/>
        </w:rPr>
        <w:t xml:space="preserve"> </w:t>
      </w:r>
      <w:r w:rsidR="00510C85" w:rsidRPr="00510C85">
        <w:rPr>
          <w:rFonts w:eastAsia="Calibri"/>
          <w:lang w:val="es-ES_tradnl" w:eastAsia="zh-CN"/>
        </w:rPr>
        <w:t xml:space="preserve">está </w:t>
      </w:r>
      <w:r w:rsidR="00981C85">
        <w:rPr>
          <w:rFonts w:eastAsia="Calibri"/>
          <w:lang w:val="es-ES_tradnl" w:eastAsia="zh-CN"/>
        </w:rPr>
        <w:t>“</w:t>
      </w:r>
      <w:r w:rsidR="00510C85" w:rsidRPr="00510C85">
        <w:rPr>
          <w:rFonts w:eastAsia="Calibri"/>
          <w:lang w:val="es-ES_tradnl" w:eastAsia="zh-CN"/>
        </w:rPr>
        <w:t>perjudicando gravemente la salud de las comunidades indígenas y campesinas”</w:t>
      </w:r>
      <w:r w:rsidR="00981C85">
        <w:rPr>
          <w:rFonts w:eastAsia="Calibri"/>
          <w:lang w:val="es-ES_tradnl" w:eastAsia="zh-CN"/>
        </w:rPr>
        <w:t>, con</w:t>
      </w:r>
      <w:r w:rsidR="00510C85" w:rsidRPr="00510C85">
        <w:rPr>
          <w:rFonts w:eastAsia="Calibri"/>
          <w:lang w:val="es-ES_tradnl" w:eastAsia="zh-CN"/>
        </w:rPr>
        <w:t xml:space="preserve"> “total inacción del Estado para garantizar la protección del derecho a la salud de los afectados</w:t>
      </w:r>
      <w:r w:rsidR="00981C85">
        <w:rPr>
          <w:rFonts w:eastAsia="Calibri"/>
          <w:lang w:val="es-ES_tradnl" w:eastAsia="zh-CN"/>
        </w:rPr>
        <w:t xml:space="preserve"> […]</w:t>
      </w:r>
      <w:r w:rsidR="00510C85" w:rsidRPr="00510C85">
        <w:rPr>
          <w:rFonts w:eastAsia="Calibri"/>
          <w:lang w:val="es-ES_tradnl" w:eastAsia="zh-CN"/>
        </w:rPr>
        <w:t xml:space="preserve"> poniendo en grave peligro la vida de las personas que viven rodeadas de </w:t>
      </w:r>
      <w:proofErr w:type="spellStart"/>
      <w:r w:rsidR="00510C85" w:rsidRPr="00510C85">
        <w:rPr>
          <w:rFonts w:eastAsia="Calibri"/>
          <w:lang w:val="es-ES_tradnl" w:eastAsia="zh-CN"/>
        </w:rPr>
        <w:t>sojales</w:t>
      </w:r>
      <w:proofErr w:type="spellEnd"/>
      <w:r w:rsidR="00510C85" w:rsidRPr="00510C85">
        <w:rPr>
          <w:rFonts w:eastAsia="Calibri"/>
          <w:lang w:val="es-ES_tradnl" w:eastAsia="zh-CN"/>
        </w:rPr>
        <w:t xml:space="preserve">, especialmente en </w:t>
      </w:r>
      <w:r w:rsidR="00981C85">
        <w:rPr>
          <w:rFonts w:eastAsia="Calibri"/>
          <w:lang w:val="es-ES_tradnl" w:eastAsia="zh-CN"/>
        </w:rPr>
        <w:t>[…]</w:t>
      </w:r>
      <w:r w:rsidR="00510C85" w:rsidRPr="00510C85">
        <w:rPr>
          <w:rFonts w:eastAsia="Calibri"/>
          <w:lang w:val="es-ES_tradnl" w:eastAsia="zh-CN"/>
        </w:rPr>
        <w:t xml:space="preserve"> </w:t>
      </w:r>
      <w:proofErr w:type="spellStart"/>
      <w:r w:rsidR="00510C85" w:rsidRPr="00510C85">
        <w:rPr>
          <w:rFonts w:eastAsia="Calibri"/>
          <w:lang w:val="es-ES_tradnl" w:eastAsia="zh-CN"/>
        </w:rPr>
        <w:t>Canindejú</w:t>
      </w:r>
      <w:proofErr w:type="spellEnd"/>
      <w:r w:rsidR="00510C85" w:rsidRPr="00510C85">
        <w:rPr>
          <w:rFonts w:eastAsia="Calibri"/>
          <w:lang w:val="es-ES_tradnl" w:eastAsia="zh-CN"/>
        </w:rPr>
        <w:t>”</w:t>
      </w:r>
      <w:r w:rsidR="00510C85" w:rsidRPr="00510C85">
        <w:rPr>
          <w:rFonts w:eastAsia="Calibri"/>
          <w:sz w:val="18"/>
          <w:vertAlign w:val="superscript"/>
          <w:lang w:val="es-ES_tradnl" w:eastAsia="zh-CN"/>
        </w:rPr>
        <w:footnoteReference w:id="19"/>
      </w:r>
      <w:r w:rsidR="00510C85" w:rsidRPr="00510C85">
        <w:rPr>
          <w:rFonts w:eastAsia="Calibri"/>
          <w:lang w:val="es-ES_tradnl" w:eastAsia="zh-CN"/>
        </w:rPr>
        <w:t>.</w:t>
      </w:r>
    </w:p>
    <w:p w:rsidR="002E5C41" w:rsidRPr="00E40C46" w:rsidRDefault="00AD3644" w:rsidP="00BB4B44">
      <w:pPr>
        <w:pStyle w:val="SingleTxtG"/>
        <w:rPr>
          <w:rFonts w:eastAsia="Calibri"/>
          <w:lang w:val="es-ES_tradnl"/>
        </w:rPr>
      </w:pPr>
      <w:r>
        <w:rPr>
          <w:rFonts w:eastAsia="Calibri"/>
          <w:lang w:val="es-ES_tradnl"/>
        </w:rPr>
        <w:t>3.</w:t>
      </w:r>
      <w:r w:rsidR="00034D8C">
        <w:rPr>
          <w:rFonts w:eastAsia="Calibri"/>
          <w:lang w:val="es-ES_tradnl"/>
        </w:rPr>
        <w:t>3</w:t>
      </w:r>
      <w:r>
        <w:rPr>
          <w:rFonts w:eastAsia="Calibri"/>
          <w:lang w:val="es-ES_tradnl"/>
        </w:rPr>
        <w:tab/>
      </w:r>
      <w:r w:rsidR="00FB465D">
        <w:rPr>
          <w:rFonts w:eastAsia="Calibri"/>
          <w:lang w:val="es-ES_tradnl"/>
        </w:rPr>
        <w:t>Por otra parte, l</w:t>
      </w:r>
      <w:r>
        <w:rPr>
          <w:rFonts w:eastAsia="Calibri"/>
          <w:lang w:val="es-ES_tradnl"/>
        </w:rPr>
        <w:t xml:space="preserve">os autores </w:t>
      </w:r>
      <w:r w:rsidR="00D02048">
        <w:rPr>
          <w:rFonts w:eastAsia="Calibri"/>
          <w:lang w:val="es-ES_tradnl"/>
        </w:rPr>
        <w:t xml:space="preserve">defienden </w:t>
      </w:r>
      <w:r>
        <w:rPr>
          <w:rFonts w:eastAsia="Calibri"/>
          <w:lang w:val="es-ES_tradnl"/>
        </w:rPr>
        <w:t>que la c</w:t>
      </w:r>
      <w:r w:rsidR="009D13E8">
        <w:rPr>
          <w:rFonts w:eastAsia="Calibri"/>
          <w:lang w:val="es-ES_tradnl"/>
        </w:rPr>
        <w:t>omunicación se enmarca dentro de la excepción al agotamiento previo</w:t>
      </w:r>
      <w:r>
        <w:rPr>
          <w:rFonts w:eastAsia="Calibri"/>
          <w:lang w:val="es-ES_tradnl"/>
        </w:rPr>
        <w:t xml:space="preserve"> de los recursos internos,</w:t>
      </w:r>
      <w:r w:rsidR="003611C7">
        <w:rPr>
          <w:rFonts w:eastAsia="Calibri"/>
          <w:lang w:val="es-ES_tradnl"/>
        </w:rPr>
        <w:t xml:space="preserve"> </w:t>
      </w:r>
      <w:r w:rsidR="003863E4">
        <w:rPr>
          <w:rFonts w:eastAsia="Calibri"/>
          <w:lang w:val="es-ES_tradnl"/>
        </w:rPr>
        <w:t>dado que</w:t>
      </w:r>
      <w:r w:rsidR="00F20019">
        <w:rPr>
          <w:rFonts w:eastAsia="Calibri"/>
          <w:lang w:val="es-ES_tradnl"/>
        </w:rPr>
        <w:t xml:space="preserve"> </w:t>
      </w:r>
      <w:r w:rsidR="00B15E90">
        <w:rPr>
          <w:rFonts w:eastAsia="Calibri"/>
          <w:lang w:val="es-ES_tradnl"/>
        </w:rPr>
        <w:t xml:space="preserve">las entidades estatales denunciadas y responsables </w:t>
      </w:r>
      <w:r w:rsidR="003863E4">
        <w:rPr>
          <w:rFonts w:eastAsia="Calibri"/>
          <w:lang w:val="es-ES_tradnl"/>
        </w:rPr>
        <w:t xml:space="preserve">no ejecutaron </w:t>
      </w:r>
      <w:r w:rsidR="00F20019">
        <w:rPr>
          <w:rFonts w:eastAsia="Calibri"/>
          <w:lang w:val="es-ES_tradnl"/>
        </w:rPr>
        <w:t>la resolución de amparo</w:t>
      </w:r>
      <w:r w:rsidR="007B22A2">
        <w:rPr>
          <w:rFonts w:eastAsia="Calibri"/>
          <w:lang w:val="es-ES_tradnl"/>
        </w:rPr>
        <w:t>,</w:t>
      </w:r>
      <w:r w:rsidR="003863E4">
        <w:rPr>
          <w:rFonts w:eastAsia="Calibri"/>
          <w:lang w:val="es-ES_tradnl"/>
        </w:rPr>
        <w:t xml:space="preserve"> </w:t>
      </w:r>
      <w:r w:rsidR="007B22A2">
        <w:rPr>
          <w:rFonts w:eastAsia="Calibri"/>
          <w:lang w:val="es-ES_tradnl"/>
        </w:rPr>
        <w:t>y que</w:t>
      </w:r>
      <w:r w:rsidR="00F20019">
        <w:rPr>
          <w:rFonts w:eastAsia="Calibri"/>
          <w:lang w:val="es-ES_tradnl"/>
        </w:rPr>
        <w:t xml:space="preserve"> </w:t>
      </w:r>
      <w:r w:rsidR="00FB05F0">
        <w:rPr>
          <w:rFonts w:eastAsia="Calibri"/>
          <w:lang w:val="es-ES_tradnl"/>
        </w:rPr>
        <w:t>la investigación penal</w:t>
      </w:r>
      <w:r w:rsidR="00E41F5D" w:rsidRPr="00E41F5D">
        <w:rPr>
          <w:rFonts w:eastAsia="Calibri"/>
          <w:lang w:val="es-ES_tradnl"/>
        </w:rPr>
        <w:t xml:space="preserve"> </w:t>
      </w:r>
      <w:r w:rsidR="00E41F5D">
        <w:rPr>
          <w:rFonts w:eastAsia="Calibri"/>
          <w:lang w:val="es-ES_tradnl"/>
        </w:rPr>
        <w:t>abierta desde el 12 de enero de 2011</w:t>
      </w:r>
      <w:r w:rsidR="003863E4">
        <w:rPr>
          <w:rFonts w:eastAsia="Calibri"/>
          <w:lang w:val="es-ES_tradnl"/>
        </w:rPr>
        <w:t xml:space="preserve"> se prolongó injustificadamente, habiendo transcurrido</w:t>
      </w:r>
      <w:r w:rsidR="00DF4EE6">
        <w:rPr>
          <w:rFonts w:eastAsia="Calibri"/>
          <w:lang w:val="es-ES_tradnl"/>
        </w:rPr>
        <w:t xml:space="preserve"> </w:t>
      </w:r>
      <w:r w:rsidR="00B15E90">
        <w:rPr>
          <w:rFonts w:eastAsia="Calibri"/>
          <w:lang w:val="es-ES_tradnl"/>
        </w:rPr>
        <w:t xml:space="preserve">dos años para la fijación de una audiencia preliminar, en contradicción con las leyes procesales que disponen que tal diligencia no puede demorar más de </w:t>
      </w:r>
      <w:r w:rsidR="00B15E90" w:rsidRPr="00E41F5D">
        <w:rPr>
          <w:rFonts w:eastAsia="Calibri"/>
          <w:lang w:val="es-ES_tradnl"/>
        </w:rPr>
        <w:t>veinte</w:t>
      </w:r>
      <w:r w:rsidR="00B15E90">
        <w:rPr>
          <w:rFonts w:eastAsia="Calibri"/>
          <w:lang w:val="es-ES_tradnl"/>
        </w:rPr>
        <w:t xml:space="preserve"> días. Además, la causa evolucionó hacia un sobreseimiento provisional, otorgando al Ministerio Público un plazo adicional para producir pruebas pendientes que no fueron realizadas durante la etapa de investigación; a la fecha de la presentación de la comunicación, las pruebas no se están recabando y la investigación está paralizada. </w:t>
      </w:r>
      <w:r w:rsidR="00BA1FEF">
        <w:rPr>
          <w:rFonts w:eastAsia="Calibri"/>
          <w:lang w:val="es-ES_tradnl"/>
        </w:rPr>
        <w:t>L</w:t>
      </w:r>
      <w:r w:rsidR="00F20019">
        <w:rPr>
          <w:rFonts w:eastAsia="Calibri"/>
          <w:lang w:val="es-ES_tradnl"/>
        </w:rPr>
        <w:t>os autores citan</w:t>
      </w:r>
      <w:r w:rsidR="00DF4EE6">
        <w:rPr>
          <w:rFonts w:eastAsia="Calibri"/>
          <w:lang w:val="es-ES_tradnl"/>
        </w:rPr>
        <w:t xml:space="preserve"> dictámenes del Comité</w:t>
      </w:r>
      <w:r w:rsidR="00D63F54">
        <w:rPr>
          <w:rFonts w:eastAsia="Calibri"/>
          <w:lang w:val="es-ES_tradnl"/>
        </w:rPr>
        <w:t xml:space="preserve"> </w:t>
      </w:r>
      <w:r w:rsidR="00D02048">
        <w:rPr>
          <w:rFonts w:eastAsia="Calibri"/>
          <w:lang w:val="es-ES_tradnl"/>
        </w:rPr>
        <w:t xml:space="preserve">en los que se estableció que una </w:t>
      </w:r>
      <w:r w:rsidR="00D63F54">
        <w:rPr>
          <w:rFonts w:eastAsia="Calibri"/>
          <w:lang w:val="es-ES_tradnl"/>
        </w:rPr>
        <w:t xml:space="preserve">demora de </w:t>
      </w:r>
      <w:r w:rsidR="002A2F45">
        <w:rPr>
          <w:rFonts w:eastAsia="Calibri"/>
          <w:lang w:val="es-ES_tradnl"/>
        </w:rPr>
        <w:t>cinco</w:t>
      </w:r>
      <w:r w:rsidR="00D63F54">
        <w:rPr>
          <w:rFonts w:eastAsia="Calibri"/>
          <w:lang w:val="es-ES_tradnl"/>
        </w:rPr>
        <w:t xml:space="preserve"> años sin procesar a los presuntos autores</w:t>
      </w:r>
      <w:r w:rsidR="00D02048">
        <w:rPr>
          <w:rFonts w:eastAsia="Calibri"/>
          <w:lang w:val="es-ES_tradnl"/>
        </w:rPr>
        <w:t xml:space="preserve"> constituía un</w:t>
      </w:r>
      <w:r w:rsidR="00D63F54">
        <w:rPr>
          <w:rFonts w:eastAsia="Calibri"/>
          <w:lang w:val="es-ES_tradnl"/>
        </w:rPr>
        <w:t xml:space="preserve"> retraso injustificado</w:t>
      </w:r>
      <w:r w:rsidR="00BE0614">
        <w:rPr>
          <w:rFonts w:eastAsia="Calibri"/>
          <w:lang w:val="es-ES_tradnl"/>
        </w:rPr>
        <w:t>,</w:t>
      </w:r>
      <w:r w:rsidR="00D02048">
        <w:rPr>
          <w:rStyle w:val="FootnoteReference"/>
          <w:rFonts w:eastAsia="Calibri"/>
          <w:lang w:val="es-ES_tradnl"/>
        </w:rPr>
        <w:footnoteReference w:id="20"/>
      </w:r>
      <w:r w:rsidR="00D02048">
        <w:rPr>
          <w:rFonts w:eastAsia="Calibri"/>
          <w:lang w:val="es-ES_tradnl"/>
        </w:rPr>
        <w:t xml:space="preserve"> </w:t>
      </w:r>
      <w:r w:rsidR="00C87782">
        <w:rPr>
          <w:rFonts w:eastAsia="Calibri"/>
          <w:lang w:val="es-ES_tradnl"/>
        </w:rPr>
        <w:t>al igual que cinco años sin que se señalara una posible fecha de finalización de las investigaciones</w:t>
      </w:r>
      <w:r w:rsidR="004A6CCC">
        <w:rPr>
          <w:rFonts w:eastAsia="Calibri"/>
          <w:lang w:val="es-ES_tradnl"/>
        </w:rPr>
        <w:t>.</w:t>
      </w:r>
      <w:r w:rsidR="00C87782">
        <w:rPr>
          <w:rStyle w:val="FootnoteReference"/>
          <w:rFonts w:eastAsia="Calibri"/>
          <w:lang w:val="es-ES_tradnl"/>
        </w:rPr>
        <w:footnoteReference w:id="21"/>
      </w:r>
      <w:r w:rsidR="00C87782">
        <w:rPr>
          <w:rFonts w:eastAsia="Calibri"/>
          <w:lang w:val="es-ES_tradnl"/>
        </w:rPr>
        <w:t xml:space="preserve"> </w:t>
      </w:r>
      <w:r w:rsidR="004A6CCC">
        <w:rPr>
          <w:rFonts w:eastAsia="Calibri"/>
          <w:lang w:val="es-ES_tradnl"/>
        </w:rPr>
        <w:t>Los autores también mencionan un dictamen en el cual</w:t>
      </w:r>
      <w:r w:rsidR="00BE0614">
        <w:rPr>
          <w:rFonts w:eastAsia="Calibri"/>
          <w:lang w:val="es-ES_tradnl"/>
        </w:rPr>
        <w:t xml:space="preserve"> una</w:t>
      </w:r>
      <w:r w:rsidR="00D63F54">
        <w:rPr>
          <w:rFonts w:eastAsia="Calibri"/>
          <w:lang w:val="es-ES_tradnl"/>
        </w:rPr>
        <w:t xml:space="preserve"> demora de tres años para la adjudicación del caso en </w:t>
      </w:r>
      <w:r w:rsidR="00D63F54" w:rsidRPr="00E40C46">
        <w:rPr>
          <w:rFonts w:eastAsia="Calibri"/>
          <w:lang w:val="es-ES_tradnl"/>
        </w:rPr>
        <w:t>primera instancia</w:t>
      </w:r>
      <w:r w:rsidR="004A6CCC">
        <w:rPr>
          <w:rFonts w:eastAsia="Calibri"/>
          <w:lang w:val="es-ES_tradnl"/>
        </w:rPr>
        <w:t xml:space="preserve"> no</w:t>
      </w:r>
      <w:r w:rsidR="00184187">
        <w:rPr>
          <w:rFonts w:eastAsia="Calibri"/>
          <w:lang w:val="es-ES_tradnl"/>
        </w:rPr>
        <w:t xml:space="preserve"> </w:t>
      </w:r>
      <w:r w:rsidR="00EC50F0">
        <w:rPr>
          <w:rFonts w:eastAsia="Calibri"/>
          <w:lang w:val="es-ES_tradnl"/>
        </w:rPr>
        <w:t>impidió que el Comité conociera de la comunicación</w:t>
      </w:r>
      <w:r w:rsidR="00360F77" w:rsidRPr="00E40C46">
        <w:rPr>
          <w:rFonts w:eastAsia="Calibri"/>
          <w:lang w:val="es-ES_tradnl"/>
        </w:rPr>
        <w:t>.</w:t>
      </w:r>
      <w:r w:rsidR="00BE0614" w:rsidRPr="00E40C46">
        <w:rPr>
          <w:rStyle w:val="FootnoteReference"/>
          <w:rFonts w:eastAsia="Calibri"/>
          <w:lang w:val="es-ES_tradnl"/>
        </w:rPr>
        <w:footnoteReference w:id="22"/>
      </w:r>
    </w:p>
    <w:p w:rsidR="001E1CCF" w:rsidRPr="009E0FBC" w:rsidRDefault="001E1CCF" w:rsidP="009E0FBC">
      <w:pPr>
        <w:pStyle w:val="SingleTxtG"/>
        <w:rPr>
          <w:color w:val="000000" w:themeColor="text1"/>
          <w:lang w:val="es-ES_tradnl"/>
        </w:rPr>
      </w:pPr>
      <w:r w:rsidRPr="009E0FBC">
        <w:rPr>
          <w:color w:val="000000" w:themeColor="text1"/>
          <w:lang w:val="es-ES_tradnl"/>
        </w:rPr>
        <w:t>3.</w:t>
      </w:r>
      <w:r w:rsidR="00B15E90">
        <w:rPr>
          <w:color w:val="000000" w:themeColor="text1"/>
          <w:lang w:val="es-ES_tradnl"/>
        </w:rPr>
        <w:t>4</w:t>
      </w:r>
      <w:r w:rsidRPr="009E0FBC">
        <w:rPr>
          <w:color w:val="000000" w:themeColor="text1"/>
          <w:lang w:val="es-ES_tradnl"/>
        </w:rPr>
        <w:tab/>
      </w:r>
      <w:r w:rsidR="003968AA">
        <w:rPr>
          <w:color w:val="000000" w:themeColor="text1"/>
          <w:lang w:val="es-ES_tradnl"/>
        </w:rPr>
        <w:t>L</w:t>
      </w:r>
      <w:r w:rsidR="00CD2595" w:rsidRPr="009E0FBC">
        <w:rPr>
          <w:color w:val="000000" w:themeColor="text1"/>
          <w:lang w:val="es-ES_tradnl"/>
        </w:rPr>
        <w:t>os autores sostienen que</w:t>
      </w:r>
      <w:r w:rsidR="00BB2FAE" w:rsidRPr="009E0FBC">
        <w:rPr>
          <w:color w:val="000000" w:themeColor="text1"/>
          <w:lang w:val="es-ES_tradnl"/>
        </w:rPr>
        <w:t xml:space="preserve"> </w:t>
      </w:r>
      <w:r w:rsidR="00CD2595" w:rsidRPr="009E0FBC">
        <w:rPr>
          <w:color w:val="000000" w:themeColor="text1"/>
          <w:lang w:val="es-ES_tradnl"/>
        </w:rPr>
        <w:t>los hechos del presente caso</w:t>
      </w:r>
      <w:r w:rsidR="00BB2FAE" w:rsidRPr="009E0FBC">
        <w:rPr>
          <w:color w:val="000000" w:themeColor="text1"/>
          <w:lang w:val="es-ES_tradnl"/>
        </w:rPr>
        <w:t xml:space="preserve"> constituyen</w:t>
      </w:r>
      <w:r w:rsidR="00CD2595" w:rsidRPr="009E0FBC">
        <w:rPr>
          <w:color w:val="000000" w:themeColor="text1"/>
          <w:lang w:val="es-ES_tradnl"/>
        </w:rPr>
        <w:t xml:space="preserve"> una violación </w:t>
      </w:r>
      <w:r w:rsidR="00D10019" w:rsidRPr="009E0FBC">
        <w:rPr>
          <w:color w:val="000000" w:themeColor="text1"/>
          <w:lang w:val="es-ES_tradnl"/>
        </w:rPr>
        <w:t>de</w:t>
      </w:r>
      <w:r w:rsidR="00CD2595" w:rsidRPr="009E0FBC">
        <w:rPr>
          <w:color w:val="000000" w:themeColor="text1"/>
          <w:lang w:val="es-ES_tradnl"/>
        </w:rPr>
        <w:t xml:space="preserve"> </w:t>
      </w:r>
      <w:r w:rsidR="00D10019" w:rsidRPr="009E0FBC">
        <w:rPr>
          <w:color w:val="000000" w:themeColor="text1"/>
          <w:lang w:val="es-ES"/>
        </w:rPr>
        <w:t>los</w:t>
      </w:r>
      <w:r w:rsidR="00CD2595" w:rsidRPr="009E0FBC">
        <w:rPr>
          <w:color w:val="000000" w:themeColor="text1"/>
          <w:lang w:val="es-ES"/>
        </w:rPr>
        <w:t xml:space="preserve"> artículos </w:t>
      </w:r>
      <w:r w:rsidR="006E2E63" w:rsidRPr="009E0FBC">
        <w:rPr>
          <w:color w:val="000000" w:themeColor="text1"/>
          <w:lang w:val="es-ES"/>
        </w:rPr>
        <w:t>6, 7 y 17 del Pacto</w:t>
      </w:r>
      <w:r w:rsidR="006E2E63">
        <w:rPr>
          <w:color w:val="000000" w:themeColor="text1"/>
          <w:lang w:val="es-ES"/>
        </w:rPr>
        <w:t xml:space="preserve">, </w:t>
      </w:r>
      <w:r w:rsidR="006E4784">
        <w:rPr>
          <w:color w:val="000000" w:themeColor="text1"/>
          <w:lang w:val="es-ES"/>
        </w:rPr>
        <w:t xml:space="preserve">leídos solos y en conjunto con </w:t>
      </w:r>
      <w:r w:rsidR="006E2E63">
        <w:rPr>
          <w:color w:val="000000" w:themeColor="text1"/>
          <w:lang w:val="es-ES"/>
        </w:rPr>
        <w:t>el artículo</w:t>
      </w:r>
      <w:r w:rsidR="006E2E63" w:rsidRPr="009E0FBC">
        <w:rPr>
          <w:color w:val="000000" w:themeColor="text1"/>
          <w:lang w:val="es-ES"/>
        </w:rPr>
        <w:t xml:space="preserve"> </w:t>
      </w:r>
      <w:r w:rsidR="00CD2595" w:rsidRPr="009E0FBC">
        <w:rPr>
          <w:color w:val="000000" w:themeColor="text1"/>
          <w:lang w:val="es-ES"/>
        </w:rPr>
        <w:t>2, párrafo 3</w:t>
      </w:r>
      <w:r w:rsidR="00BE26AF" w:rsidRPr="009E0FBC">
        <w:rPr>
          <w:rFonts w:eastAsia="Calibri"/>
          <w:color w:val="000000" w:themeColor="text1"/>
          <w:lang w:val="es-ES_tradnl"/>
        </w:rPr>
        <w:t>.</w:t>
      </w:r>
    </w:p>
    <w:p w:rsidR="006E2E63" w:rsidRPr="000B6904" w:rsidRDefault="004A1DF8" w:rsidP="001E1CCF">
      <w:pPr>
        <w:pStyle w:val="SingleTxtG"/>
        <w:rPr>
          <w:lang w:val="es-ES_tradnl"/>
        </w:rPr>
      </w:pPr>
      <w:r>
        <w:rPr>
          <w:color w:val="000000"/>
          <w:lang w:val="es-ES_tradnl"/>
        </w:rPr>
        <w:t>3.</w:t>
      </w:r>
      <w:r w:rsidR="00B15E90">
        <w:rPr>
          <w:color w:val="000000"/>
          <w:lang w:val="es-ES_tradnl"/>
        </w:rPr>
        <w:t>5</w:t>
      </w:r>
      <w:r w:rsidR="006E2E63" w:rsidRPr="006E2E63">
        <w:rPr>
          <w:color w:val="000000"/>
          <w:lang w:val="es-ES_tradnl"/>
        </w:rPr>
        <w:tab/>
      </w:r>
      <w:r w:rsidR="00664FBF">
        <w:rPr>
          <w:color w:val="000000"/>
          <w:lang w:val="es-ES_tradnl"/>
        </w:rPr>
        <w:t xml:space="preserve">En cuanto a la </w:t>
      </w:r>
      <w:r w:rsidR="00664FBF" w:rsidRPr="00664FBF">
        <w:rPr>
          <w:color w:val="000000"/>
          <w:lang w:val="es-ES_tradnl"/>
        </w:rPr>
        <w:t xml:space="preserve">violación del derecho a la vida y </w:t>
      </w:r>
      <w:r w:rsidR="00664FBF">
        <w:rPr>
          <w:color w:val="000000"/>
          <w:lang w:val="es-ES_tradnl"/>
        </w:rPr>
        <w:t>a la integridad física, l</w:t>
      </w:r>
      <w:r w:rsidR="00481D0B">
        <w:rPr>
          <w:color w:val="000000"/>
          <w:lang w:val="es-ES_tradnl"/>
        </w:rPr>
        <w:t xml:space="preserve">os autores </w:t>
      </w:r>
      <w:r w:rsidR="0023492B">
        <w:rPr>
          <w:color w:val="000000"/>
          <w:lang w:val="es-ES_tradnl"/>
        </w:rPr>
        <w:t>defiende</w:t>
      </w:r>
      <w:r w:rsidR="00FF7EE1">
        <w:rPr>
          <w:color w:val="000000"/>
          <w:lang w:val="es-ES_tradnl"/>
        </w:rPr>
        <w:t>n</w:t>
      </w:r>
      <w:r w:rsidR="0023492B">
        <w:rPr>
          <w:color w:val="000000"/>
          <w:lang w:val="es-ES_tradnl"/>
        </w:rPr>
        <w:t xml:space="preserve"> que</w:t>
      </w:r>
      <w:r w:rsidR="004E7222">
        <w:rPr>
          <w:color w:val="000000"/>
          <w:lang w:val="es-ES_tradnl"/>
        </w:rPr>
        <w:t xml:space="preserve"> </w:t>
      </w:r>
      <w:r w:rsidR="00CA7199">
        <w:rPr>
          <w:color w:val="000000"/>
          <w:lang w:val="es-ES_tradnl"/>
        </w:rPr>
        <w:t xml:space="preserve">se enfermaron y </w:t>
      </w:r>
      <w:r w:rsidR="003329A7">
        <w:rPr>
          <w:color w:val="000000"/>
          <w:lang w:val="es-ES_tradnl"/>
        </w:rPr>
        <w:t xml:space="preserve">que </w:t>
      </w:r>
      <w:r w:rsidR="00CA7199" w:rsidRPr="006E2E63">
        <w:rPr>
          <w:color w:val="000000"/>
          <w:lang w:val="es-ES_tradnl"/>
        </w:rPr>
        <w:t>el Sr. Portillo Cáceres</w:t>
      </w:r>
      <w:r w:rsidR="00CA7199">
        <w:rPr>
          <w:color w:val="000000"/>
          <w:lang w:val="es-ES_tradnl"/>
        </w:rPr>
        <w:t xml:space="preserve"> </w:t>
      </w:r>
      <w:r w:rsidR="006E2E63" w:rsidRPr="006E2E63">
        <w:rPr>
          <w:color w:val="000000"/>
          <w:lang w:val="es-ES_tradnl"/>
        </w:rPr>
        <w:t>falleci</w:t>
      </w:r>
      <w:r w:rsidR="0023492B">
        <w:rPr>
          <w:color w:val="000000"/>
          <w:lang w:val="es-ES_tradnl"/>
        </w:rPr>
        <w:t>ó</w:t>
      </w:r>
      <w:r w:rsidR="006E2E63" w:rsidRPr="006E2E63">
        <w:rPr>
          <w:color w:val="000000"/>
          <w:lang w:val="es-ES_tradnl"/>
        </w:rPr>
        <w:t xml:space="preserve"> a causa de las actividades </w:t>
      </w:r>
      <w:r w:rsidR="006E2E63">
        <w:rPr>
          <w:color w:val="000000"/>
          <w:lang w:val="es-ES_tradnl"/>
        </w:rPr>
        <w:t>de fumigaciones</w:t>
      </w:r>
      <w:r w:rsidR="006E2E63" w:rsidRPr="006E2E63">
        <w:rPr>
          <w:color w:val="000000"/>
          <w:lang w:val="es-ES_tradnl"/>
        </w:rPr>
        <w:t xml:space="preserve"> sin ningún control del Estado</w:t>
      </w:r>
      <w:r w:rsidR="004E7222">
        <w:rPr>
          <w:color w:val="000000"/>
          <w:lang w:val="es-ES_tradnl"/>
        </w:rPr>
        <w:t xml:space="preserve">, sin que el Estado </w:t>
      </w:r>
      <w:r w:rsidR="004E7222">
        <w:rPr>
          <w:color w:val="000000" w:themeColor="text1"/>
          <w:lang w:val="es-ES_tradnl"/>
        </w:rPr>
        <w:t>cumpliera con su deber de proteger</w:t>
      </w:r>
      <w:r w:rsidR="00481D0B">
        <w:rPr>
          <w:color w:val="000000" w:themeColor="text1"/>
          <w:lang w:val="es-ES_tradnl"/>
        </w:rPr>
        <w:t xml:space="preserve"> sus vidas e integridad física</w:t>
      </w:r>
      <w:r w:rsidR="004E7222">
        <w:rPr>
          <w:color w:val="000000" w:themeColor="text1"/>
          <w:lang w:val="es-ES_tradnl"/>
        </w:rPr>
        <w:t xml:space="preserve"> al no ser</w:t>
      </w:r>
      <w:r w:rsidR="004E7222" w:rsidRPr="009E0FBC">
        <w:rPr>
          <w:color w:val="000000" w:themeColor="text1"/>
          <w:lang w:val="es-ES_tradnl"/>
        </w:rPr>
        <w:t xml:space="preserve"> diligente</w:t>
      </w:r>
      <w:r w:rsidR="004E7222">
        <w:rPr>
          <w:color w:val="000000" w:themeColor="text1"/>
          <w:lang w:val="es-ES_tradnl"/>
        </w:rPr>
        <w:t xml:space="preserve"> en la </w:t>
      </w:r>
      <w:r w:rsidR="004E7222" w:rsidRPr="000B6904">
        <w:rPr>
          <w:lang w:val="es-ES_tradnl"/>
        </w:rPr>
        <w:t xml:space="preserve">implementación de la normativa </w:t>
      </w:r>
      <w:r w:rsidR="00ED6B21" w:rsidRPr="000B6904">
        <w:rPr>
          <w:lang w:val="es-ES_tradnl"/>
        </w:rPr>
        <w:t>ambiental</w:t>
      </w:r>
      <w:r w:rsidR="004E7222" w:rsidRPr="000B6904">
        <w:rPr>
          <w:lang w:val="es-ES_tradnl"/>
        </w:rPr>
        <w:t>.</w:t>
      </w:r>
      <w:r w:rsidR="004D549A" w:rsidRPr="000B6904">
        <w:rPr>
          <w:lang w:val="es-ES_tradnl"/>
        </w:rPr>
        <w:t xml:space="preserve"> </w:t>
      </w:r>
      <w:r w:rsidR="00FE1A1B">
        <w:rPr>
          <w:lang w:val="es-ES_tradnl"/>
        </w:rPr>
        <w:t>Los autores también alegan</w:t>
      </w:r>
      <w:r w:rsidR="004D549A" w:rsidRPr="000B6904">
        <w:rPr>
          <w:lang w:val="es-ES_tradnl"/>
        </w:rPr>
        <w:t xml:space="preserve"> </w:t>
      </w:r>
      <w:r w:rsidR="00FE1A1B">
        <w:rPr>
          <w:lang w:val="es-ES_tradnl"/>
        </w:rPr>
        <w:t>la</w:t>
      </w:r>
      <w:r w:rsidR="004D549A" w:rsidRPr="000B6904">
        <w:rPr>
          <w:lang w:val="es-ES_tradnl"/>
        </w:rPr>
        <w:t xml:space="preserve"> violación de</w:t>
      </w:r>
      <w:r w:rsidR="00481D0B">
        <w:rPr>
          <w:lang w:val="es-ES_tradnl"/>
        </w:rPr>
        <w:t xml:space="preserve"> su</w:t>
      </w:r>
      <w:r w:rsidR="004D549A" w:rsidRPr="000B6904">
        <w:rPr>
          <w:lang w:val="es-ES_tradnl"/>
        </w:rPr>
        <w:t xml:space="preserve"> derecho a una vida digna, </w:t>
      </w:r>
      <w:r w:rsidR="00725A0F">
        <w:rPr>
          <w:lang w:val="es-ES_tradnl"/>
        </w:rPr>
        <w:t>por</w:t>
      </w:r>
      <w:r w:rsidR="009E5AEC" w:rsidRPr="000B6904">
        <w:rPr>
          <w:lang w:val="es-ES_tradnl"/>
        </w:rPr>
        <w:t xml:space="preserve"> las condiciones de vida </w:t>
      </w:r>
      <w:r w:rsidR="0094092F" w:rsidRPr="000B6904">
        <w:rPr>
          <w:lang w:val="es-ES_tradnl"/>
        </w:rPr>
        <w:t>en las que se encuentran</w:t>
      </w:r>
      <w:r w:rsidR="000B6904">
        <w:rPr>
          <w:lang w:val="es-ES_tradnl"/>
        </w:rPr>
        <w:t>,</w:t>
      </w:r>
      <w:r w:rsidR="0094092F" w:rsidRPr="000B6904">
        <w:rPr>
          <w:lang w:val="es-ES_tradnl"/>
        </w:rPr>
        <w:t xml:space="preserve"> en el medio de fumigaciones no controladas </w:t>
      </w:r>
      <w:r w:rsidR="007C6672">
        <w:rPr>
          <w:lang w:val="es-ES_tradnl"/>
        </w:rPr>
        <w:t>que</w:t>
      </w:r>
      <w:r w:rsidR="008F2719">
        <w:rPr>
          <w:lang w:val="es-ES_tradnl"/>
        </w:rPr>
        <w:t xml:space="preserve"> </w:t>
      </w:r>
      <w:r w:rsidR="00ED49EE">
        <w:rPr>
          <w:lang w:val="es-ES_tradnl"/>
        </w:rPr>
        <w:t>impactan negativamente</w:t>
      </w:r>
      <w:r w:rsidR="008F2719">
        <w:rPr>
          <w:lang w:val="es-ES_tradnl"/>
        </w:rPr>
        <w:t xml:space="preserve"> en su </w:t>
      </w:r>
      <w:r w:rsidR="00800564">
        <w:rPr>
          <w:lang w:val="es-ES_tradnl"/>
        </w:rPr>
        <w:t xml:space="preserve">día a día por la contaminación de los cursos de agua de los que </w:t>
      </w:r>
      <w:r w:rsidR="00ED49EE">
        <w:rPr>
          <w:lang w:val="es-ES_tradnl"/>
        </w:rPr>
        <w:t xml:space="preserve">pescan, </w:t>
      </w:r>
      <w:r w:rsidR="004F47E8">
        <w:rPr>
          <w:lang w:val="es-ES_tradnl"/>
        </w:rPr>
        <w:t xml:space="preserve">de los pozos de los que beben, </w:t>
      </w:r>
      <w:r w:rsidR="00ED49EE">
        <w:rPr>
          <w:lang w:val="es-ES_tradnl"/>
        </w:rPr>
        <w:t xml:space="preserve">por la desaparición de </w:t>
      </w:r>
      <w:r w:rsidR="00A66EFC">
        <w:rPr>
          <w:lang w:val="es-ES_tradnl"/>
        </w:rPr>
        <w:t>los</w:t>
      </w:r>
      <w:r w:rsidR="00ED49EE">
        <w:rPr>
          <w:lang w:val="es-ES_tradnl"/>
        </w:rPr>
        <w:t xml:space="preserve"> cultivos</w:t>
      </w:r>
      <w:r w:rsidR="004F47E8">
        <w:rPr>
          <w:lang w:val="es-ES_tradnl"/>
        </w:rPr>
        <w:t xml:space="preserve"> de los que se alimentan</w:t>
      </w:r>
      <w:r w:rsidR="007C6672">
        <w:rPr>
          <w:lang w:val="es-ES_tradnl"/>
        </w:rPr>
        <w:t>,</w:t>
      </w:r>
      <w:r w:rsidR="004F47E8">
        <w:rPr>
          <w:lang w:val="es-ES_tradnl"/>
        </w:rPr>
        <w:t xml:space="preserve"> y de la muerte de sus animales de cría</w:t>
      </w:r>
      <w:r w:rsidR="007C6672">
        <w:rPr>
          <w:lang w:val="es-ES_tradnl"/>
        </w:rPr>
        <w:t>, todo ello llevando a su intoxicación</w:t>
      </w:r>
      <w:r w:rsidR="004D549A" w:rsidRPr="000B6904">
        <w:rPr>
          <w:lang w:val="es-ES_tradnl"/>
        </w:rPr>
        <w:t xml:space="preserve">. </w:t>
      </w:r>
    </w:p>
    <w:p w:rsidR="00BE3AA7" w:rsidRDefault="001E1CCF" w:rsidP="00316E2F">
      <w:pPr>
        <w:pStyle w:val="SingleTxtG"/>
        <w:rPr>
          <w:color w:val="000000"/>
          <w:lang w:val="es-ES_tradnl"/>
        </w:rPr>
      </w:pPr>
      <w:r w:rsidRPr="001E1CCF">
        <w:rPr>
          <w:color w:val="000000"/>
          <w:lang w:val="es-ES_tradnl"/>
        </w:rPr>
        <w:t>3.</w:t>
      </w:r>
      <w:r w:rsidR="00B15E90">
        <w:rPr>
          <w:color w:val="000000"/>
          <w:lang w:val="es-ES_tradnl"/>
        </w:rPr>
        <w:t>6</w:t>
      </w:r>
      <w:r w:rsidRPr="001E1CCF">
        <w:rPr>
          <w:color w:val="000000"/>
          <w:lang w:val="es-ES_tradnl"/>
        </w:rPr>
        <w:tab/>
      </w:r>
      <w:r w:rsidR="00481D0B">
        <w:rPr>
          <w:color w:val="000000"/>
          <w:lang w:val="es-ES_tradnl"/>
        </w:rPr>
        <w:t>L</w:t>
      </w:r>
      <w:r w:rsidR="00B241BC">
        <w:rPr>
          <w:color w:val="000000"/>
          <w:lang w:val="es-ES_tradnl"/>
        </w:rPr>
        <w:t>os autores sostienen</w:t>
      </w:r>
      <w:r w:rsidR="00481D0B">
        <w:rPr>
          <w:color w:val="000000"/>
          <w:lang w:val="es-ES_tradnl"/>
        </w:rPr>
        <w:t xml:space="preserve"> asimismo</w:t>
      </w:r>
      <w:r w:rsidR="00B241BC">
        <w:rPr>
          <w:color w:val="000000"/>
          <w:lang w:val="es-ES_tradnl"/>
        </w:rPr>
        <w:t xml:space="preserve"> que se </w:t>
      </w:r>
      <w:r w:rsidR="008748DA">
        <w:rPr>
          <w:color w:val="000000"/>
          <w:lang w:val="es-ES_tradnl"/>
        </w:rPr>
        <w:t>viol</w:t>
      </w:r>
      <w:r w:rsidR="00481D0B">
        <w:rPr>
          <w:color w:val="000000"/>
          <w:lang w:val="es-ES_tradnl"/>
        </w:rPr>
        <w:t>ó su derecho reconocido por el artículo 17 del Pacto</w:t>
      </w:r>
      <w:r w:rsidR="00B241BC">
        <w:rPr>
          <w:color w:val="000000"/>
          <w:lang w:val="es-ES_tradnl"/>
        </w:rPr>
        <w:t xml:space="preserve"> </w:t>
      </w:r>
      <w:r w:rsidR="009F3272">
        <w:rPr>
          <w:color w:val="000000"/>
          <w:lang w:val="es-ES_tradnl"/>
        </w:rPr>
        <w:t>a raíz de la</w:t>
      </w:r>
      <w:r w:rsidR="008A6C6B">
        <w:rPr>
          <w:color w:val="000000"/>
          <w:lang w:val="es-ES_tradnl"/>
        </w:rPr>
        <w:t xml:space="preserve">s actividades de las </w:t>
      </w:r>
      <w:r w:rsidR="00B241BC">
        <w:rPr>
          <w:color w:val="000000"/>
          <w:lang w:val="es-ES_tradnl"/>
        </w:rPr>
        <w:t xml:space="preserve">explotaciones </w:t>
      </w:r>
      <w:r w:rsidR="00B241BC">
        <w:rPr>
          <w:color w:val="000000"/>
          <w:lang w:val="es-ES_tradnl"/>
        </w:rPr>
        <w:lastRenderedPageBreak/>
        <w:t>agrícolas colindantes</w:t>
      </w:r>
      <w:r w:rsidR="00290216">
        <w:rPr>
          <w:color w:val="000000"/>
          <w:lang w:val="es-ES_tradnl"/>
        </w:rPr>
        <w:t xml:space="preserve"> que resultan</w:t>
      </w:r>
      <w:r w:rsidR="008A6C6B">
        <w:rPr>
          <w:color w:val="000000"/>
          <w:lang w:val="es-ES_tradnl"/>
        </w:rPr>
        <w:t xml:space="preserve"> en</w:t>
      </w:r>
      <w:r w:rsidR="009F3272">
        <w:rPr>
          <w:color w:val="000000"/>
          <w:lang w:val="es-ES_tradnl"/>
        </w:rPr>
        <w:t xml:space="preserve"> contaminación ambiental</w:t>
      </w:r>
      <w:r w:rsidR="000412BB">
        <w:rPr>
          <w:color w:val="000000"/>
          <w:lang w:val="es-ES_tradnl"/>
        </w:rPr>
        <w:t>,</w:t>
      </w:r>
      <w:r w:rsidR="008A6C6B">
        <w:rPr>
          <w:color w:val="000000"/>
          <w:lang w:val="es-ES_tradnl"/>
        </w:rPr>
        <w:t xml:space="preserve"> sin ningún tipo de control del Estado parte.</w:t>
      </w:r>
      <w:r w:rsidR="009F3272">
        <w:rPr>
          <w:color w:val="000000"/>
          <w:lang w:val="es-ES_tradnl"/>
        </w:rPr>
        <w:t xml:space="preserve"> </w:t>
      </w:r>
      <w:r w:rsidR="00337DEE">
        <w:rPr>
          <w:color w:val="000000"/>
          <w:lang w:val="es-ES_tradnl"/>
        </w:rPr>
        <w:t>S</w:t>
      </w:r>
      <w:r w:rsidR="00917E30">
        <w:rPr>
          <w:color w:val="000000"/>
          <w:lang w:val="es-ES_tradnl"/>
        </w:rPr>
        <w:t>ostienen que</w:t>
      </w:r>
      <w:r w:rsidR="008A6C6B">
        <w:rPr>
          <w:color w:val="000000"/>
          <w:lang w:val="es-ES_tradnl"/>
        </w:rPr>
        <w:t xml:space="preserve"> </w:t>
      </w:r>
      <w:r w:rsidR="00917E30">
        <w:rPr>
          <w:color w:val="000000"/>
          <w:lang w:val="es-ES_tradnl"/>
        </w:rPr>
        <w:t>de</w:t>
      </w:r>
      <w:r w:rsidR="003A186B">
        <w:rPr>
          <w:color w:val="000000"/>
          <w:lang w:val="es-ES_tradnl"/>
        </w:rPr>
        <w:t xml:space="preserve"> la </w:t>
      </w:r>
      <w:r w:rsidR="006125A7">
        <w:rPr>
          <w:color w:val="000000"/>
          <w:lang w:val="es-ES_tradnl"/>
        </w:rPr>
        <w:t>Observación general número 31, párrafo 8</w:t>
      </w:r>
      <w:r w:rsidR="006F3DE2">
        <w:rPr>
          <w:color w:val="000000"/>
          <w:lang w:val="es-ES_tradnl"/>
        </w:rPr>
        <w:t xml:space="preserve">, </w:t>
      </w:r>
      <w:r w:rsidR="00917E30">
        <w:rPr>
          <w:color w:val="000000"/>
          <w:lang w:val="es-ES_tradnl"/>
        </w:rPr>
        <w:t xml:space="preserve">se debe interpretar que </w:t>
      </w:r>
      <w:r w:rsidR="006F3DE2">
        <w:rPr>
          <w:color w:val="000000"/>
          <w:lang w:val="es-ES_tradnl"/>
        </w:rPr>
        <w:t>el</w:t>
      </w:r>
      <w:r w:rsidR="006125A7">
        <w:rPr>
          <w:color w:val="000000"/>
          <w:lang w:val="es-ES_tradnl"/>
        </w:rPr>
        <w:t xml:space="preserve"> ámbito de protección del </w:t>
      </w:r>
      <w:r w:rsidR="006F3DE2">
        <w:rPr>
          <w:color w:val="000000"/>
          <w:lang w:val="es-ES_tradnl"/>
        </w:rPr>
        <w:t xml:space="preserve">artículo </w:t>
      </w:r>
      <w:r w:rsidR="006125A7">
        <w:rPr>
          <w:color w:val="000000"/>
          <w:lang w:val="es-ES_tradnl"/>
        </w:rPr>
        <w:t>17 abarca la protección del domicilio y el ámbito de la vida privada frente a la contaminación ambiental derivada de una práctica de terceros cuando ésta se constituya en una forma de intrusión ilegal o arbitraria que afecte la vida privada</w:t>
      </w:r>
      <w:r w:rsidR="00257AD5">
        <w:rPr>
          <w:color w:val="000000"/>
          <w:lang w:val="es-ES_tradnl"/>
        </w:rPr>
        <w:t xml:space="preserve"> o familiar. </w:t>
      </w:r>
      <w:r w:rsidR="00BE3AA7">
        <w:rPr>
          <w:color w:val="000000"/>
          <w:lang w:val="es-ES_tradnl"/>
        </w:rPr>
        <w:t>Así, los autores sostienen la e</w:t>
      </w:r>
      <w:r w:rsidR="00257AD5">
        <w:rPr>
          <w:color w:val="000000"/>
          <w:lang w:val="es-ES_tradnl"/>
        </w:rPr>
        <w:t>xist</w:t>
      </w:r>
      <w:r w:rsidR="00BE3AA7">
        <w:rPr>
          <w:color w:val="000000"/>
          <w:lang w:val="es-ES_tradnl"/>
        </w:rPr>
        <w:t>encia de</w:t>
      </w:r>
      <w:r w:rsidR="00257AD5">
        <w:rPr>
          <w:color w:val="000000"/>
          <w:lang w:val="es-ES_tradnl"/>
        </w:rPr>
        <w:t xml:space="preserve"> una </w:t>
      </w:r>
      <w:r w:rsidR="00257AD5" w:rsidRPr="00E40EBE">
        <w:rPr>
          <w:i/>
          <w:color w:val="000000"/>
          <w:lang w:val="es-ES_tradnl"/>
        </w:rPr>
        <w:t>culpa in vigilando</w:t>
      </w:r>
      <w:r w:rsidR="00257AD5">
        <w:rPr>
          <w:color w:val="000000"/>
          <w:lang w:val="es-ES_tradnl"/>
        </w:rPr>
        <w:t xml:space="preserve"> </w:t>
      </w:r>
      <w:r w:rsidR="00BE3AA7">
        <w:rPr>
          <w:color w:val="000000"/>
          <w:lang w:val="es-ES_tradnl"/>
        </w:rPr>
        <w:t>cuando</w:t>
      </w:r>
      <w:r w:rsidR="00257AD5">
        <w:rPr>
          <w:color w:val="000000"/>
          <w:lang w:val="es-ES_tradnl"/>
        </w:rPr>
        <w:t xml:space="preserve"> el Estado parte incumple la normativa que regula la actividad agrícola contaminante por terceros </w:t>
      </w:r>
      <w:r w:rsidR="00BE3AA7">
        <w:rPr>
          <w:color w:val="000000"/>
          <w:lang w:val="es-ES_tradnl"/>
        </w:rPr>
        <w:t>que</w:t>
      </w:r>
      <w:r w:rsidR="00257AD5">
        <w:rPr>
          <w:color w:val="000000"/>
          <w:lang w:val="es-ES_tradnl"/>
        </w:rPr>
        <w:t xml:space="preserve"> afecta el domicilio o la vida privada o familiar de las personas. </w:t>
      </w:r>
      <w:r w:rsidR="00E40EBE">
        <w:rPr>
          <w:color w:val="000000"/>
          <w:lang w:val="es-ES_tradnl"/>
        </w:rPr>
        <w:t xml:space="preserve"> </w:t>
      </w:r>
    </w:p>
    <w:p w:rsidR="002A4C3E" w:rsidRDefault="00BE3AA7" w:rsidP="001A6E11">
      <w:pPr>
        <w:pStyle w:val="SingleTxtG"/>
        <w:rPr>
          <w:color w:val="000000"/>
          <w:lang w:val="es-ES_tradnl"/>
        </w:rPr>
      </w:pPr>
      <w:r>
        <w:rPr>
          <w:color w:val="000000"/>
          <w:lang w:val="es-ES_tradnl"/>
        </w:rPr>
        <w:t>3.</w:t>
      </w:r>
      <w:r w:rsidR="00316E2F">
        <w:rPr>
          <w:color w:val="000000"/>
          <w:lang w:val="es-ES_tradnl"/>
        </w:rPr>
        <w:t>7</w:t>
      </w:r>
      <w:r>
        <w:rPr>
          <w:color w:val="000000"/>
          <w:lang w:val="es-ES_tradnl"/>
        </w:rPr>
        <w:tab/>
        <w:t xml:space="preserve">Los autores sostienen que </w:t>
      </w:r>
      <w:r w:rsidR="007E6B60">
        <w:rPr>
          <w:color w:val="000000"/>
          <w:lang w:val="es-ES_tradnl"/>
        </w:rPr>
        <w:t>se trata de</w:t>
      </w:r>
      <w:r w:rsidR="00E40EBE">
        <w:rPr>
          <w:color w:val="000000"/>
          <w:lang w:val="es-ES_tradnl"/>
        </w:rPr>
        <w:t xml:space="preserve"> un alcance no ajeno al derecho internacional de los derechos humanos, </w:t>
      </w:r>
      <w:r w:rsidR="007E6B60">
        <w:rPr>
          <w:color w:val="000000"/>
          <w:lang w:val="es-ES_tradnl"/>
        </w:rPr>
        <w:t>recordando</w:t>
      </w:r>
      <w:r w:rsidR="00F43436">
        <w:rPr>
          <w:color w:val="000000"/>
          <w:lang w:val="es-ES_tradnl"/>
        </w:rPr>
        <w:t xml:space="preserve"> la constante jurisprudencia del Tribunal Europeo </w:t>
      </w:r>
      <w:r w:rsidR="007E6B60">
        <w:rPr>
          <w:color w:val="000000"/>
          <w:lang w:val="es-ES_tradnl"/>
        </w:rPr>
        <w:t>según la cual</w:t>
      </w:r>
      <w:r w:rsidR="00F43436">
        <w:rPr>
          <w:color w:val="000000"/>
          <w:lang w:val="es-ES_tradnl"/>
        </w:rPr>
        <w:t xml:space="preserve"> si bien ninguna disposición del </w:t>
      </w:r>
      <w:r w:rsidR="007E6B60">
        <w:rPr>
          <w:color w:val="000000"/>
          <w:lang w:val="es-ES_tradnl"/>
        </w:rPr>
        <w:t>Convenio E</w:t>
      </w:r>
      <w:r w:rsidR="00F43436">
        <w:rPr>
          <w:color w:val="000000"/>
          <w:lang w:val="es-ES_tradnl"/>
        </w:rPr>
        <w:t xml:space="preserve">uropeo protege el derecho al medio ambiente, una </w:t>
      </w:r>
      <w:r w:rsidR="000765B7">
        <w:rPr>
          <w:color w:val="000000"/>
          <w:lang w:val="es-ES_tradnl"/>
        </w:rPr>
        <w:t>violación del d</w:t>
      </w:r>
      <w:r w:rsidR="000765B7" w:rsidRPr="000765B7">
        <w:rPr>
          <w:color w:val="000000"/>
          <w:lang w:val="es-ES_tradnl"/>
        </w:rPr>
        <w:t>erecho al respeto a la vida privada y familiar</w:t>
      </w:r>
      <w:r w:rsidR="000765B7">
        <w:rPr>
          <w:color w:val="000000"/>
          <w:lang w:val="es-ES_tradnl"/>
        </w:rPr>
        <w:t xml:space="preserve"> </w:t>
      </w:r>
      <w:r w:rsidR="00316E2F">
        <w:rPr>
          <w:color w:val="000000"/>
          <w:lang w:val="es-ES_tradnl"/>
        </w:rPr>
        <w:t>existe</w:t>
      </w:r>
      <w:r w:rsidR="000765B7">
        <w:rPr>
          <w:color w:val="000000"/>
          <w:lang w:val="es-ES_tradnl"/>
        </w:rPr>
        <w:t xml:space="preserve"> </w:t>
      </w:r>
      <w:r w:rsidR="00F43436">
        <w:rPr>
          <w:color w:val="000000"/>
          <w:lang w:val="es-ES_tradnl"/>
        </w:rPr>
        <w:t xml:space="preserve">cuando un peligro ambiental alcanza un nivel de gravedad que resulta en un deterioro significativo de la capacidad del solicitante </w:t>
      </w:r>
      <w:r w:rsidR="007E6B60">
        <w:rPr>
          <w:color w:val="000000"/>
          <w:lang w:val="es-ES_tradnl"/>
        </w:rPr>
        <w:t>de</w:t>
      </w:r>
      <w:r w:rsidR="00F43436">
        <w:rPr>
          <w:color w:val="000000"/>
          <w:lang w:val="es-ES_tradnl"/>
        </w:rPr>
        <w:t xml:space="preserve"> disfrutar de su domicilio, vida privada o familiar.</w:t>
      </w:r>
      <w:r w:rsidR="004146EB">
        <w:rPr>
          <w:color w:val="000000"/>
          <w:lang w:val="es-ES_tradnl"/>
        </w:rPr>
        <w:t xml:space="preserve"> </w:t>
      </w:r>
      <w:r w:rsidR="00314D40">
        <w:rPr>
          <w:color w:val="000000"/>
          <w:lang w:val="es-ES_tradnl"/>
        </w:rPr>
        <w:t xml:space="preserve">Así, </w:t>
      </w:r>
      <w:r w:rsidR="004146EB">
        <w:rPr>
          <w:color w:val="000000"/>
          <w:lang w:val="es-ES_tradnl"/>
        </w:rPr>
        <w:t>una grave contaminación del ambiente puede afectar el bienestar del individuo e impedirle disfrutar de su hogar de tal modo que se ataca su vida privada y familiar.</w:t>
      </w:r>
      <w:r w:rsidR="007E6B60" w:rsidRPr="007E6B60">
        <w:rPr>
          <w:rStyle w:val="FootnoteReference"/>
          <w:color w:val="000000"/>
          <w:lang w:val="es-ES_tradnl"/>
        </w:rPr>
        <w:t xml:space="preserve"> </w:t>
      </w:r>
      <w:r w:rsidR="007E6B60">
        <w:rPr>
          <w:rStyle w:val="FootnoteReference"/>
          <w:color w:val="000000"/>
          <w:lang w:val="es-ES_tradnl"/>
        </w:rPr>
        <w:footnoteReference w:id="23"/>
      </w:r>
      <w:r w:rsidR="004146EB">
        <w:rPr>
          <w:color w:val="000000"/>
          <w:lang w:val="es-ES_tradnl"/>
        </w:rPr>
        <w:t xml:space="preserve"> Los autores afirman que </w:t>
      </w:r>
      <w:r w:rsidR="002336EB">
        <w:rPr>
          <w:color w:val="000000"/>
          <w:lang w:val="es-ES_tradnl"/>
        </w:rPr>
        <w:t xml:space="preserve">el </w:t>
      </w:r>
      <w:r w:rsidR="0079145D">
        <w:rPr>
          <w:color w:val="000000"/>
          <w:lang w:val="es-ES_tradnl"/>
        </w:rPr>
        <w:t>artículo</w:t>
      </w:r>
      <w:r w:rsidR="002336EB">
        <w:rPr>
          <w:color w:val="000000"/>
          <w:lang w:val="es-ES_tradnl"/>
        </w:rPr>
        <w:t xml:space="preserve"> 17 del Pacto debe ser interpretado de manera evolutiva a la luz de </w:t>
      </w:r>
      <w:r w:rsidR="004146EB">
        <w:rPr>
          <w:color w:val="000000"/>
          <w:lang w:val="es-ES_tradnl"/>
        </w:rPr>
        <w:t xml:space="preserve">la jurisprudencia del </w:t>
      </w:r>
      <w:r w:rsidR="007C0BEB">
        <w:rPr>
          <w:color w:val="000000"/>
          <w:lang w:val="es-ES_tradnl"/>
        </w:rPr>
        <w:t>Tribunal Europeo</w:t>
      </w:r>
      <w:r w:rsidR="0030642F">
        <w:rPr>
          <w:color w:val="000000"/>
          <w:lang w:val="es-ES_tradnl"/>
        </w:rPr>
        <w:t>,</w:t>
      </w:r>
      <w:r w:rsidR="001A6E11">
        <w:rPr>
          <w:color w:val="000000"/>
          <w:lang w:val="es-ES_tradnl"/>
        </w:rPr>
        <w:t xml:space="preserve"> ya que,</w:t>
      </w:r>
      <w:r w:rsidR="002336EB">
        <w:rPr>
          <w:color w:val="000000"/>
          <w:lang w:val="es-ES_tradnl"/>
        </w:rPr>
        <w:t xml:space="preserve"> en el presente caso,</w:t>
      </w:r>
      <w:r w:rsidR="004146EB">
        <w:rPr>
          <w:color w:val="000000"/>
          <w:lang w:val="es-ES_tradnl"/>
        </w:rPr>
        <w:t xml:space="preserve"> se han acumulado suficientes elementos de convicción para determinar una relación de causalidad entre</w:t>
      </w:r>
      <w:r w:rsidR="00F14E90">
        <w:rPr>
          <w:color w:val="000000"/>
          <w:lang w:val="es-ES_tradnl"/>
        </w:rPr>
        <w:t xml:space="preserve"> </w:t>
      </w:r>
      <w:r w:rsidR="004146EB">
        <w:rPr>
          <w:color w:val="000000"/>
          <w:lang w:val="es-ES_tradnl"/>
        </w:rPr>
        <w:t xml:space="preserve">el lanzamiento extensivo de </w:t>
      </w:r>
      <w:r w:rsidR="00F14E90">
        <w:rPr>
          <w:color w:val="000000"/>
          <w:lang w:val="es-ES_tradnl"/>
        </w:rPr>
        <w:t>agro-tóxicos</w:t>
      </w:r>
      <w:r w:rsidR="008A2D51">
        <w:rPr>
          <w:color w:val="000000"/>
          <w:lang w:val="es-ES_tradnl"/>
        </w:rPr>
        <w:t>,</w:t>
      </w:r>
      <w:r w:rsidR="0030642F">
        <w:rPr>
          <w:color w:val="000000"/>
          <w:lang w:val="es-ES_tradnl"/>
        </w:rPr>
        <w:t xml:space="preserve"> </w:t>
      </w:r>
      <w:r w:rsidR="004146EB">
        <w:rPr>
          <w:color w:val="000000"/>
          <w:lang w:val="es-ES_tradnl"/>
        </w:rPr>
        <w:t>la contaminación de las aguas de uso doméstico</w:t>
      </w:r>
      <w:r w:rsidR="000F0A92">
        <w:rPr>
          <w:color w:val="000000"/>
          <w:lang w:val="es-ES_tradnl"/>
        </w:rPr>
        <w:t xml:space="preserve"> por agroquímicos prohibidos</w:t>
      </w:r>
      <w:r w:rsidR="00F14E90">
        <w:rPr>
          <w:color w:val="000000"/>
          <w:lang w:val="es-ES_tradnl"/>
        </w:rPr>
        <w:t>,</w:t>
      </w:r>
      <w:r w:rsidR="004146EB">
        <w:rPr>
          <w:color w:val="000000"/>
          <w:lang w:val="es-ES_tradnl"/>
        </w:rPr>
        <w:t xml:space="preserve"> </w:t>
      </w:r>
      <w:r w:rsidR="008A2D51">
        <w:rPr>
          <w:color w:val="000000"/>
          <w:lang w:val="es-ES_tradnl"/>
        </w:rPr>
        <w:t>la intoxicación de los autores</w:t>
      </w:r>
      <w:r w:rsidR="00D779FD">
        <w:rPr>
          <w:color w:val="000000"/>
          <w:lang w:val="es-ES_tradnl"/>
        </w:rPr>
        <w:t>,</w:t>
      </w:r>
      <w:r w:rsidR="008A2D51">
        <w:rPr>
          <w:color w:val="000000"/>
          <w:lang w:val="es-ES_tradnl"/>
        </w:rPr>
        <w:t xml:space="preserve"> </w:t>
      </w:r>
      <w:r w:rsidR="00F14E90">
        <w:rPr>
          <w:color w:val="000000"/>
          <w:lang w:val="es-ES_tradnl"/>
        </w:rPr>
        <w:t>y</w:t>
      </w:r>
      <w:r w:rsidR="004146EB">
        <w:rPr>
          <w:color w:val="000000"/>
          <w:lang w:val="es-ES_tradnl"/>
        </w:rPr>
        <w:t xml:space="preserve"> el fallecimiento de</w:t>
      </w:r>
      <w:r w:rsidR="00001C7C">
        <w:rPr>
          <w:color w:val="000000"/>
          <w:lang w:val="es-ES_tradnl"/>
        </w:rPr>
        <w:t>l Sr. Portillo Cáceres</w:t>
      </w:r>
      <w:r w:rsidR="004146EB">
        <w:rPr>
          <w:color w:val="000000"/>
          <w:lang w:val="es-ES_tradnl"/>
        </w:rPr>
        <w:t>.</w:t>
      </w:r>
    </w:p>
    <w:p w:rsidR="00A240CF" w:rsidRDefault="0024062F" w:rsidP="001E1CCF">
      <w:pPr>
        <w:pStyle w:val="SingleTxtG"/>
        <w:rPr>
          <w:color w:val="000000"/>
          <w:lang w:val="es-ES_tradnl"/>
        </w:rPr>
      </w:pPr>
      <w:r>
        <w:rPr>
          <w:color w:val="000000"/>
          <w:lang w:val="es-ES_tradnl"/>
        </w:rPr>
        <w:t>3.</w:t>
      </w:r>
      <w:r w:rsidR="001A6E11">
        <w:rPr>
          <w:color w:val="000000"/>
          <w:lang w:val="es-ES_tradnl"/>
        </w:rPr>
        <w:t>8</w:t>
      </w:r>
      <w:r>
        <w:rPr>
          <w:color w:val="000000"/>
          <w:lang w:val="es-ES_tradnl"/>
        </w:rPr>
        <w:tab/>
        <w:t xml:space="preserve">Finalmente, los autores defienden la violación </w:t>
      </w:r>
      <w:r w:rsidR="00F0169A">
        <w:rPr>
          <w:color w:val="000000"/>
          <w:lang w:val="es-ES_tradnl"/>
        </w:rPr>
        <w:t xml:space="preserve">del derecho </w:t>
      </w:r>
      <w:r>
        <w:rPr>
          <w:color w:val="000000"/>
          <w:lang w:val="es-ES_tradnl"/>
        </w:rPr>
        <w:t>a</w:t>
      </w:r>
      <w:r w:rsidR="00042F1C">
        <w:rPr>
          <w:color w:val="000000"/>
          <w:lang w:val="es-ES_tradnl"/>
        </w:rPr>
        <w:t xml:space="preserve"> un recurso judicial efectivo</w:t>
      </w:r>
      <w:r>
        <w:rPr>
          <w:color w:val="000000"/>
          <w:lang w:val="es-ES_tradnl"/>
        </w:rPr>
        <w:t>,</w:t>
      </w:r>
      <w:r w:rsidR="0057396D">
        <w:rPr>
          <w:color w:val="000000"/>
          <w:lang w:val="es-ES_tradnl"/>
        </w:rPr>
        <w:t xml:space="preserve"> </w:t>
      </w:r>
      <w:r w:rsidR="007537E3">
        <w:rPr>
          <w:color w:val="000000"/>
          <w:lang w:val="es-ES_tradnl"/>
        </w:rPr>
        <w:t xml:space="preserve">al no </w:t>
      </w:r>
      <w:r w:rsidR="00F0169A">
        <w:rPr>
          <w:color w:val="000000"/>
          <w:lang w:val="es-ES_tradnl"/>
        </w:rPr>
        <w:t>haberse investigado</w:t>
      </w:r>
      <w:r w:rsidR="007537E3">
        <w:rPr>
          <w:color w:val="000000"/>
          <w:lang w:val="es-ES_tradnl"/>
        </w:rPr>
        <w:t xml:space="preserve"> de manera efectiva, adecuada, imparcial y diligente </w:t>
      </w:r>
      <w:r w:rsidR="00F0169A">
        <w:rPr>
          <w:color w:val="000000"/>
          <w:lang w:val="es-ES_tradnl"/>
        </w:rPr>
        <w:t xml:space="preserve">la contaminación ambiental que implicó la intoxicación de los autores y </w:t>
      </w:r>
      <w:r w:rsidR="007537E3">
        <w:rPr>
          <w:color w:val="000000"/>
          <w:lang w:val="es-ES_tradnl"/>
        </w:rPr>
        <w:t>la</w:t>
      </w:r>
      <w:r w:rsidR="00204B55">
        <w:rPr>
          <w:color w:val="000000"/>
          <w:lang w:val="es-ES_tradnl"/>
        </w:rPr>
        <w:t xml:space="preserve"> </w:t>
      </w:r>
      <w:r w:rsidR="00F0169A">
        <w:rPr>
          <w:color w:val="000000"/>
          <w:lang w:val="es-ES_tradnl"/>
        </w:rPr>
        <w:t>muerte del Sr. Portillo Cáceres</w:t>
      </w:r>
      <w:r w:rsidR="00B212EB">
        <w:rPr>
          <w:color w:val="000000"/>
          <w:lang w:val="es-ES_tradnl"/>
        </w:rPr>
        <w:t>, y</w:t>
      </w:r>
      <w:r w:rsidR="00F0169A">
        <w:rPr>
          <w:color w:val="000000"/>
          <w:lang w:val="es-ES_tradnl"/>
        </w:rPr>
        <w:t xml:space="preserve"> al no haberse </w:t>
      </w:r>
      <w:r w:rsidR="007537E3">
        <w:rPr>
          <w:color w:val="000000"/>
          <w:lang w:val="es-ES_tradnl"/>
        </w:rPr>
        <w:t>sanci</w:t>
      </w:r>
      <w:r w:rsidR="00F0169A">
        <w:rPr>
          <w:color w:val="000000"/>
          <w:lang w:val="es-ES_tradnl"/>
        </w:rPr>
        <w:t>onado</w:t>
      </w:r>
      <w:r w:rsidR="007537E3">
        <w:rPr>
          <w:color w:val="000000"/>
          <w:lang w:val="es-ES_tradnl"/>
        </w:rPr>
        <w:t xml:space="preserve"> </w:t>
      </w:r>
      <w:r>
        <w:rPr>
          <w:color w:val="000000"/>
          <w:lang w:val="es-ES_tradnl"/>
        </w:rPr>
        <w:t>a</w:t>
      </w:r>
      <w:r w:rsidR="007537E3">
        <w:rPr>
          <w:color w:val="000000"/>
          <w:lang w:val="es-ES_tradnl"/>
        </w:rPr>
        <w:t xml:space="preserve"> los responsables.</w:t>
      </w:r>
    </w:p>
    <w:p w:rsidR="002A4C3E" w:rsidRDefault="002D6D3D" w:rsidP="003C3C51">
      <w:pPr>
        <w:pStyle w:val="SingleTxtG"/>
        <w:rPr>
          <w:color w:val="000000"/>
          <w:lang w:val="es-ES_tradnl"/>
        </w:rPr>
      </w:pPr>
      <w:r>
        <w:rPr>
          <w:color w:val="000000"/>
          <w:lang w:val="es-ES_tradnl"/>
        </w:rPr>
        <w:t>3.</w:t>
      </w:r>
      <w:r w:rsidR="00A04349">
        <w:rPr>
          <w:color w:val="000000"/>
          <w:lang w:val="es-ES_tradnl"/>
        </w:rPr>
        <w:t>9</w:t>
      </w:r>
      <w:r>
        <w:rPr>
          <w:color w:val="000000"/>
          <w:lang w:val="es-ES_tradnl"/>
        </w:rPr>
        <w:tab/>
        <w:t>En particular</w:t>
      </w:r>
      <w:r w:rsidR="00BE4961">
        <w:rPr>
          <w:color w:val="000000"/>
          <w:lang w:val="es-ES_tradnl"/>
        </w:rPr>
        <w:t xml:space="preserve">, los autores </w:t>
      </w:r>
      <w:r w:rsidR="0079200E">
        <w:rPr>
          <w:color w:val="000000"/>
          <w:lang w:val="es-ES_tradnl"/>
        </w:rPr>
        <w:t>afirman que</w:t>
      </w:r>
      <w:r w:rsidR="00227C80">
        <w:rPr>
          <w:color w:val="000000"/>
          <w:lang w:val="es-ES_tradnl"/>
        </w:rPr>
        <w:t xml:space="preserve"> </w:t>
      </w:r>
      <w:r w:rsidR="0079200E">
        <w:rPr>
          <w:color w:val="000000"/>
          <w:lang w:val="es-ES_tradnl"/>
        </w:rPr>
        <w:t xml:space="preserve">los recursos presentados han sido </w:t>
      </w:r>
      <w:r w:rsidR="00481D0B">
        <w:rPr>
          <w:color w:val="000000"/>
          <w:lang w:val="es-ES_tradnl"/>
        </w:rPr>
        <w:t xml:space="preserve">ineficaces </w:t>
      </w:r>
      <w:r w:rsidR="005C1709">
        <w:rPr>
          <w:color w:val="000000"/>
          <w:lang w:val="es-ES_tradnl"/>
        </w:rPr>
        <w:t>porque</w:t>
      </w:r>
      <w:r w:rsidR="000704DC">
        <w:rPr>
          <w:color w:val="000000"/>
          <w:lang w:val="es-ES_tradnl"/>
        </w:rPr>
        <w:t xml:space="preserve">, a pesar de una constatación </w:t>
      </w:r>
      <w:r w:rsidR="000704DC" w:rsidRPr="007C1F8B">
        <w:rPr>
          <w:i/>
          <w:color w:val="000000"/>
          <w:lang w:val="es-ES_tradnl"/>
        </w:rPr>
        <w:t>in situ</w:t>
      </w:r>
      <w:r w:rsidR="000704DC">
        <w:rPr>
          <w:color w:val="000000"/>
          <w:lang w:val="es-ES_tradnl"/>
        </w:rPr>
        <w:t xml:space="preserve"> que proporcionó suficientes elementos de convicción para presumir que </w:t>
      </w:r>
      <w:r w:rsidR="003A1980">
        <w:rPr>
          <w:color w:val="000000"/>
          <w:lang w:val="es-ES_tradnl"/>
        </w:rPr>
        <w:t>el</w:t>
      </w:r>
      <w:r w:rsidR="000704DC">
        <w:rPr>
          <w:color w:val="000000"/>
          <w:lang w:val="es-ES_tradnl"/>
        </w:rPr>
        <w:t xml:space="preserve"> </w:t>
      </w:r>
      <w:r w:rsidR="003A1980">
        <w:rPr>
          <w:color w:val="000000"/>
          <w:lang w:val="es-ES_tradnl"/>
        </w:rPr>
        <w:t>irrespeto</w:t>
      </w:r>
      <w:r w:rsidR="000704DC">
        <w:rPr>
          <w:color w:val="000000"/>
          <w:lang w:val="es-ES_tradnl"/>
        </w:rPr>
        <w:t xml:space="preserve"> de la normativa interna tuvo incidencia directa en la contaminación</w:t>
      </w:r>
      <w:r w:rsidR="008B6913">
        <w:rPr>
          <w:color w:val="000000"/>
          <w:lang w:val="es-ES_tradnl"/>
        </w:rPr>
        <w:t>,</w:t>
      </w:r>
      <w:r w:rsidR="000704DC">
        <w:rPr>
          <w:color w:val="000000"/>
          <w:lang w:val="es-ES_tradnl"/>
        </w:rPr>
        <w:t xml:space="preserve"> </w:t>
      </w:r>
      <w:r w:rsidR="00982B2F">
        <w:rPr>
          <w:color w:val="000000"/>
          <w:lang w:val="es-ES_tradnl"/>
        </w:rPr>
        <w:t>causando</w:t>
      </w:r>
      <w:r w:rsidR="000704DC">
        <w:rPr>
          <w:color w:val="000000"/>
          <w:lang w:val="es-ES_tradnl"/>
        </w:rPr>
        <w:t xml:space="preserve"> </w:t>
      </w:r>
      <w:r w:rsidR="003A1980">
        <w:rPr>
          <w:color w:val="000000"/>
          <w:lang w:val="es-ES_tradnl"/>
        </w:rPr>
        <w:t xml:space="preserve">los </w:t>
      </w:r>
      <w:r w:rsidR="000704DC">
        <w:rPr>
          <w:color w:val="000000"/>
          <w:lang w:val="es-ES_tradnl"/>
        </w:rPr>
        <w:t>da</w:t>
      </w:r>
      <w:r w:rsidR="003A1980">
        <w:rPr>
          <w:color w:val="000000"/>
          <w:lang w:val="es-ES_tradnl"/>
        </w:rPr>
        <w:t>ñ</w:t>
      </w:r>
      <w:r w:rsidR="000704DC">
        <w:rPr>
          <w:color w:val="000000"/>
          <w:lang w:val="es-ES_tradnl"/>
        </w:rPr>
        <w:t xml:space="preserve">os </w:t>
      </w:r>
      <w:r w:rsidR="003A1980">
        <w:rPr>
          <w:color w:val="000000"/>
          <w:lang w:val="es-ES_tradnl"/>
        </w:rPr>
        <w:t>del presente caso</w:t>
      </w:r>
      <w:r w:rsidR="00AC781C">
        <w:rPr>
          <w:color w:val="000000"/>
          <w:lang w:val="es-ES_tradnl"/>
        </w:rPr>
        <w:t>,</w:t>
      </w:r>
      <w:r w:rsidR="00922404">
        <w:rPr>
          <w:color w:val="000000"/>
          <w:lang w:val="es-ES_tradnl"/>
        </w:rPr>
        <w:t xml:space="preserve"> </w:t>
      </w:r>
      <w:r w:rsidR="00B64978">
        <w:rPr>
          <w:color w:val="000000"/>
          <w:lang w:val="es-ES_tradnl"/>
        </w:rPr>
        <w:t xml:space="preserve">a) </w:t>
      </w:r>
      <w:r w:rsidR="008B6913">
        <w:rPr>
          <w:color w:val="000000"/>
          <w:lang w:val="es-ES_tradnl"/>
        </w:rPr>
        <w:t>se tardaron</w:t>
      </w:r>
      <w:r w:rsidR="007C1F8B">
        <w:rPr>
          <w:color w:val="000000"/>
          <w:lang w:val="es-ES_tradnl"/>
        </w:rPr>
        <w:t xml:space="preserve"> </w:t>
      </w:r>
      <w:r w:rsidR="009F654C">
        <w:rPr>
          <w:color w:val="000000"/>
          <w:lang w:val="es-ES_tradnl"/>
        </w:rPr>
        <w:t>d</w:t>
      </w:r>
      <w:r w:rsidR="007C1F8B">
        <w:rPr>
          <w:color w:val="000000"/>
          <w:lang w:val="es-ES_tradnl"/>
        </w:rPr>
        <w:t xml:space="preserve">os años para convocar </w:t>
      </w:r>
      <w:r w:rsidR="00841237">
        <w:rPr>
          <w:color w:val="000000"/>
          <w:lang w:val="es-ES_tradnl"/>
        </w:rPr>
        <w:t>una</w:t>
      </w:r>
      <w:r w:rsidR="007C1F8B">
        <w:rPr>
          <w:color w:val="000000"/>
          <w:lang w:val="es-ES_tradnl"/>
        </w:rPr>
        <w:t xml:space="preserve"> audiencia </w:t>
      </w:r>
      <w:r w:rsidR="00BD7069">
        <w:rPr>
          <w:color w:val="000000"/>
          <w:lang w:val="es-ES_tradnl"/>
        </w:rPr>
        <w:t>preliminar</w:t>
      </w:r>
      <w:r w:rsidR="001873E9">
        <w:rPr>
          <w:color w:val="000000"/>
          <w:lang w:val="es-ES_tradnl"/>
        </w:rPr>
        <w:t xml:space="preserve"> </w:t>
      </w:r>
      <w:r w:rsidR="00935009">
        <w:rPr>
          <w:color w:val="000000"/>
          <w:lang w:val="es-ES_tradnl"/>
        </w:rPr>
        <w:t xml:space="preserve">en un caso en el cual </w:t>
      </w:r>
      <w:r w:rsidR="001873E9">
        <w:rPr>
          <w:color w:val="000000"/>
          <w:lang w:val="es-ES_tradnl"/>
        </w:rPr>
        <w:t xml:space="preserve">quedaron implicados </w:t>
      </w:r>
      <w:r w:rsidR="00FB3C6E">
        <w:rPr>
          <w:color w:val="000000"/>
          <w:lang w:val="es-ES_tradnl"/>
        </w:rPr>
        <w:t>algunos</w:t>
      </w:r>
      <w:r w:rsidR="001873E9">
        <w:rPr>
          <w:color w:val="000000"/>
          <w:lang w:val="es-ES_tradnl"/>
        </w:rPr>
        <w:t xml:space="preserve"> productores pero no las dos grandes haciendas</w:t>
      </w:r>
      <w:r w:rsidR="008B6913">
        <w:rPr>
          <w:color w:val="000000"/>
          <w:lang w:val="es-ES_tradnl"/>
        </w:rPr>
        <w:t>; b)</w:t>
      </w:r>
      <w:r w:rsidR="00BD7069">
        <w:rPr>
          <w:color w:val="000000"/>
          <w:lang w:val="es-ES_tradnl"/>
        </w:rPr>
        <w:t xml:space="preserve"> </w:t>
      </w:r>
      <w:r w:rsidR="008B6913">
        <w:rPr>
          <w:color w:val="000000"/>
          <w:lang w:val="es-ES_tradnl"/>
        </w:rPr>
        <w:t>se dictó</w:t>
      </w:r>
      <w:r w:rsidR="00195B85">
        <w:rPr>
          <w:color w:val="000000"/>
          <w:lang w:val="es-ES_tradnl"/>
        </w:rPr>
        <w:t xml:space="preserve"> finalmente</w:t>
      </w:r>
      <w:r w:rsidR="008B6913">
        <w:rPr>
          <w:color w:val="000000"/>
          <w:lang w:val="es-ES_tradnl"/>
        </w:rPr>
        <w:t xml:space="preserve"> </w:t>
      </w:r>
      <w:r w:rsidR="00481D0B">
        <w:rPr>
          <w:color w:val="000000"/>
          <w:lang w:val="es-ES_tradnl"/>
        </w:rPr>
        <w:t xml:space="preserve">el </w:t>
      </w:r>
      <w:r w:rsidR="008B6913">
        <w:rPr>
          <w:color w:val="000000"/>
          <w:lang w:val="es-ES_tradnl"/>
        </w:rPr>
        <w:t>sobreseimiento provisional</w:t>
      </w:r>
      <w:r w:rsidR="00A240CF">
        <w:rPr>
          <w:color w:val="000000"/>
          <w:lang w:val="es-ES_tradnl"/>
        </w:rPr>
        <w:t xml:space="preserve">; </w:t>
      </w:r>
      <w:r w:rsidR="008B6913">
        <w:rPr>
          <w:color w:val="000000"/>
          <w:lang w:val="es-ES_tradnl"/>
        </w:rPr>
        <w:t>c</w:t>
      </w:r>
      <w:r w:rsidR="00B64978">
        <w:rPr>
          <w:color w:val="000000"/>
          <w:lang w:val="es-ES_tradnl"/>
        </w:rPr>
        <w:t xml:space="preserve">) </w:t>
      </w:r>
      <w:r w:rsidR="00A240CF">
        <w:rPr>
          <w:color w:val="000000"/>
          <w:lang w:val="es-ES_tradnl"/>
        </w:rPr>
        <w:t xml:space="preserve">el Ministerio Público desperdició la oportunidad procesal de </w:t>
      </w:r>
      <w:r w:rsidR="00535C4E">
        <w:rPr>
          <w:color w:val="000000"/>
          <w:lang w:val="es-ES_tradnl"/>
        </w:rPr>
        <w:t>recabar</w:t>
      </w:r>
      <w:r w:rsidR="00A240CF">
        <w:rPr>
          <w:color w:val="000000"/>
          <w:lang w:val="es-ES_tradnl"/>
        </w:rPr>
        <w:t xml:space="preserve"> pruebas pertinentes</w:t>
      </w:r>
      <w:r w:rsidR="00195B85">
        <w:rPr>
          <w:color w:val="000000"/>
          <w:lang w:val="es-ES_tradnl"/>
        </w:rPr>
        <w:t>; d</w:t>
      </w:r>
      <w:r w:rsidR="0063369D">
        <w:rPr>
          <w:color w:val="000000"/>
          <w:lang w:val="es-ES_tradnl"/>
        </w:rPr>
        <w:t>)</w:t>
      </w:r>
      <w:r w:rsidR="001D199C">
        <w:rPr>
          <w:color w:val="000000"/>
          <w:lang w:val="es-ES_tradnl"/>
        </w:rPr>
        <w:t xml:space="preserve"> nunca se incorporaron a la investigación las historias clínicas</w:t>
      </w:r>
      <w:r w:rsidR="00935009">
        <w:rPr>
          <w:color w:val="000000"/>
          <w:lang w:val="es-ES_tradnl"/>
        </w:rPr>
        <w:t>,</w:t>
      </w:r>
      <w:r w:rsidR="001D199C">
        <w:rPr>
          <w:color w:val="000000"/>
          <w:lang w:val="es-ES_tradnl"/>
        </w:rPr>
        <w:t xml:space="preserve"> </w:t>
      </w:r>
      <w:r w:rsidR="00935009">
        <w:rPr>
          <w:color w:val="000000"/>
          <w:lang w:val="es-ES_tradnl"/>
        </w:rPr>
        <w:t xml:space="preserve">exámenes de sangre y orina, </w:t>
      </w:r>
      <w:r w:rsidR="001D199C">
        <w:rPr>
          <w:color w:val="000000"/>
          <w:lang w:val="es-ES_tradnl"/>
        </w:rPr>
        <w:t>de los autores</w:t>
      </w:r>
      <w:r w:rsidR="0063369D">
        <w:rPr>
          <w:color w:val="000000"/>
          <w:lang w:val="es-ES_tradnl"/>
        </w:rPr>
        <w:t>; e</w:t>
      </w:r>
      <w:r w:rsidR="00CA23F7">
        <w:rPr>
          <w:color w:val="000000"/>
          <w:lang w:val="es-ES_tradnl"/>
        </w:rPr>
        <w:t xml:space="preserve">) </w:t>
      </w:r>
      <w:r w:rsidR="00AD2066">
        <w:rPr>
          <w:color w:val="000000"/>
          <w:lang w:val="es-ES_tradnl"/>
        </w:rPr>
        <w:t xml:space="preserve">existe </w:t>
      </w:r>
      <w:r w:rsidR="00CA23F7">
        <w:rPr>
          <w:color w:val="000000"/>
          <w:lang w:val="es-ES_tradnl"/>
        </w:rPr>
        <w:lastRenderedPageBreak/>
        <w:t xml:space="preserve">impunidad y la </w:t>
      </w:r>
      <w:r w:rsidR="00AD2066">
        <w:rPr>
          <w:color w:val="000000"/>
          <w:lang w:val="es-ES_tradnl"/>
        </w:rPr>
        <w:t>contaminación continúa</w:t>
      </w:r>
      <w:r w:rsidR="0063369D">
        <w:rPr>
          <w:color w:val="000000"/>
          <w:lang w:val="es-ES_tradnl"/>
        </w:rPr>
        <w:t xml:space="preserve">; </w:t>
      </w:r>
      <w:r w:rsidR="00481D0B">
        <w:rPr>
          <w:color w:val="000000"/>
          <w:lang w:val="es-ES_tradnl"/>
        </w:rPr>
        <w:t xml:space="preserve">y </w:t>
      </w:r>
      <w:r w:rsidR="0063369D">
        <w:rPr>
          <w:color w:val="000000"/>
          <w:lang w:val="es-ES_tradnl"/>
        </w:rPr>
        <w:t>f</w:t>
      </w:r>
      <w:r w:rsidR="006E3E96">
        <w:rPr>
          <w:color w:val="000000"/>
          <w:lang w:val="es-ES_tradnl"/>
        </w:rPr>
        <w:t>)</w:t>
      </w:r>
      <w:r w:rsidR="005C1501">
        <w:rPr>
          <w:color w:val="000000"/>
          <w:lang w:val="es-ES_tradnl"/>
        </w:rPr>
        <w:t xml:space="preserve"> el</w:t>
      </w:r>
      <w:r w:rsidR="00684DA2">
        <w:rPr>
          <w:color w:val="000000"/>
          <w:lang w:val="es-ES_tradnl"/>
        </w:rPr>
        <w:t xml:space="preserve"> recurso de</w:t>
      </w:r>
      <w:r w:rsidR="005C1501">
        <w:rPr>
          <w:color w:val="000000"/>
          <w:lang w:val="es-ES_tradnl"/>
        </w:rPr>
        <w:t xml:space="preserve"> amparo</w:t>
      </w:r>
      <w:r w:rsidR="006E3E96">
        <w:rPr>
          <w:color w:val="000000"/>
          <w:lang w:val="es-ES_tradnl"/>
        </w:rPr>
        <w:t>, favorable en su resolución,</w:t>
      </w:r>
      <w:r w:rsidR="005C1501">
        <w:rPr>
          <w:color w:val="000000"/>
          <w:lang w:val="es-ES_tradnl"/>
        </w:rPr>
        <w:t xml:space="preserve"> nunca fue </w:t>
      </w:r>
      <w:r w:rsidR="006E3E96">
        <w:rPr>
          <w:color w:val="000000"/>
          <w:lang w:val="es-ES_tradnl"/>
        </w:rPr>
        <w:t>implementado</w:t>
      </w:r>
      <w:r w:rsidR="00C62679">
        <w:rPr>
          <w:color w:val="000000"/>
          <w:lang w:val="es-ES_tradnl"/>
        </w:rPr>
        <w:t>.</w:t>
      </w:r>
    </w:p>
    <w:p w:rsidR="00A2737F" w:rsidRPr="00A2737F" w:rsidRDefault="00A25089" w:rsidP="001E1CCF">
      <w:pPr>
        <w:pStyle w:val="SingleTxtG"/>
        <w:rPr>
          <w:lang w:val="es-ES_tradnl"/>
        </w:rPr>
      </w:pPr>
      <w:r>
        <w:rPr>
          <w:lang w:val="es-ES_tradnl"/>
        </w:rPr>
        <w:t>3.1</w:t>
      </w:r>
      <w:r w:rsidR="00A04349">
        <w:rPr>
          <w:lang w:val="es-ES_tradnl"/>
        </w:rPr>
        <w:t>0</w:t>
      </w:r>
      <w:r>
        <w:rPr>
          <w:lang w:val="es-ES_tradnl"/>
        </w:rPr>
        <w:tab/>
      </w:r>
      <w:r w:rsidR="00E40ED6">
        <w:rPr>
          <w:lang w:val="es-ES_tradnl"/>
        </w:rPr>
        <w:t xml:space="preserve">Los autores solicitan </w:t>
      </w:r>
      <w:r w:rsidR="00481D0B">
        <w:rPr>
          <w:lang w:val="es-ES_tradnl"/>
        </w:rPr>
        <w:t xml:space="preserve">las siguientes </w:t>
      </w:r>
      <w:r w:rsidR="00E40ED6">
        <w:rPr>
          <w:lang w:val="es-ES_tradnl"/>
        </w:rPr>
        <w:t>medidas de reparación</w:t>
      </w:r>
      <w:r w:rsidR="00A2737F">
        <w:rPr>
          <w:lang w:val="es-ES_tradnl"/>
        </w:rPr>
        <w:t xml:space="preserve">: a) </w:t>
      </w:r>
      <w:r w:rsidR="00E40ED6">
        <w:rPr>
          <w:lang w:val="es-ES_tradnl"/>
        </w:rPr>
        <w:t>una investigación</w:t>
      </w:r>
      <w:r w:rsidR="00A2737F">
        <w:rPr>
          <w:lang w:val="es-ES_tradnl"/>
        </w:rPr>
        <w:t xml:space="preserve"> efectiva y exhaustiva y</w:t>
      </w:r>
      <w:r w:rsidR="00E40ED6">
        <w:rPr>
          <w:lang w:val="es-ES_tradnl"/>
        </w:rPr>
        <w:t xml:space="preserve"> la</w:t>
      </w:r>
      <w:r w:rsidR="00A2737F">
        <w:rPr>
          <w:lang w:val="es-ES_tradnl"/>
        </w:rPr>
        <w:t xml:space="preserve"> </w:t>
      </w:r>
      <w:r w:rsidR="00E40ED6">
        <w:rPr>
          <w:lang w:val="es-ES_tradnl"/>
        </w:rPr>
        <w:t>sanción de</w:t>
      </w:r>
      <w:r w:rsidR="00A2737F">
        <w:rPr>
          <w:lang w:val="es-ES_tradnl"/>
        </w:rPr>
        <w:t xml:space="preserve"> los responsables; b) </w:t>
      </w:r>
      <w:r w:rsidR="00E40ED6">
        <w:rPr>
          <w:lang w:val="es-ES_tradnl"/>
        </w:rPr>
        <w:t>la adopción de</w:t>
      </w:r>
      <w:r w:rsidR="00A2737F">
        <w:rPr>
          <w:lang w:val="es-ES_tradnl"/>
        </w:rPr>
        <w:t xml:space="preserve"> las medidas legislativas, administrativas y de otra índole que sean necesarias para garantizar efectivamente que no vuelvan a ocurrir hechos análogos en el futuro; </w:t>
      </w:r>
      <w:r w:rsidR="00481D0B">
        <w:rPr>
          <w:lang w:val="es-ES_tradnl"/>
        </w:rPr>
        <w:t xml:space="preserve">y </w:t>
      </w:r>
      <w:r w:rsidR="00A2737F">
        <w:rPr>
          <w:lang w:val="es-ES_tradnl"/>
        </w:rPr>
        <w:t>c) una reparación integral y adecuada</w:t>
      </w:r>
      <w:r w:rsidR="00590472">
        <w:rPr>
          <w:lang w:val="es-ES_tradnl"/>
        </w:rPr>
        <w:t>.</w:t>
      </w:r>
    </w:p>
    <w:p w:rsidR="001E1CCF" w:rsidRPr="001E1CCF" w:rsidRDefault="00005F6D" w:rsidP="00005F6D">
      <w:pPr>
        <w:pStyle w:val="H23G"/>
        <w:rPr>
          <w:lang w:val="es-ES_tradnl"/>
        </w:rPr>
      </w:pPr>
      <w:r>
        <w:rPr>
          <w:lang w:val="es-ES_tradnl"/>
        </w:rPr>
        <w:tab/>
      </w:r>
      <w:r>
        <w:rPr>
          <w:lang w:val="es-ES_tradnl"/>
        </w:rPr>
        <w:tab/>
      </w:r>
      <w:r w:rsidR="001E1CCF" w:rsidRPr="001E1CCF">
        <w:rPr>
          <w:lang w:val="es-ES_tradnl"/>
        </w:rPr>
        <w:t>Observaciones del Esta</w:t>
      </w:r>
      <w:r w:rsidR="00982CA8">
        <w:rPr>
          <w:lang w:val="es-ES_tradnl"/>
        </w:rPr>
        <w:t>do parte sobre la admisibilidad</w:t>
      </w:r>
      <w:r w:rsidR="00D81EA4">
        <w:rPr>
          <w:lang w:val="es-ES_tradnl"/>
        </w:rPr>
        <w:t xml:space="preserve"> y el fondo</w:t>
      </w:r>
    </w:p>
    <w:p w:rsidR="004726C0" w:rsidRDefault="004726C0" w:rsidP="004726C0">
      <w:pPr>
        <w:pStyle w:val="SingleTxtG"/>
        <w:rPr>
          <w:color w:val="000000"/>
          <w:lang w:val="es-ES_tradnl"/>
        </w:rPr>
      </w:pPr>
      <w:r w:rsidRPr="004726C0">
        <w:rPr>
          <w:color w:val="000000"/>
          <w:lang w:val="es-ES_tradnl"/>
        </w:rPr>
        <w:t>4.1</w:t>
      </w:r>
      <w:r w:rsidRPr="004726C0">
        <w:rPr>
          <w:color w:val="000000"/>
          <w:lang w:val="es-ES_tradnl"/>
        </w:rPr>
        <w:tab/>
      </w:r>
      <w:r w:rsidR="0083166F">
        <w:rPr>
          <w:color w:val="000000"/>
          <w:lang w:val="es-ES_tradnl"/>
        </w:rPr>
        <w:t>Mediante observaciones de</w:t>
      </w:r>
      <w:r w:rsidR="000463E0">
        <w:rPr>
          <w:color w:val="000000"/>
          <w:lang w:val="es-ES_tradnl"/>
        </w:rPr>
        <w:t xml:space="preserve"> </w:t>
      </w:r>
      <w:r w:rsidR="00D81EA4">
        <w:rPr>
          <w:color w:val="000000"/>
          <w:lang w:val="es-ES_tradnl"/>
        </w:rPr>
        <w:t>19 de septiembre de 2018</w:t>
      </w:r>
      <w:r w:rsidR="000463E0">
        <w:rPr>
          <w:color w:val="000000"/>
          <w:lang w:val="es-ES_tradnl"/>
        </w:rPr>
        <w:t xml:space="preserve">, el Estado parte </w:t>
      </w:r>
      <w:r w:rsidR="006B0B11">
        <w:rPr>
          <w:color w:val="000000"/>
          <w:lang w:val="es-ES_tradnl"/>
        </w:rPr>
        <w:t xml:space="preserve">defiende </w:t>
      </w:r>
      <w:r w:rsidR="00481D0B">
        <w:rPr>
          <w:color w:val="000000"/>
          <w:lang w:val="es-ES_tradnl"/>
        </w:rPr>
        <w:t xml:space="preserve">que la comunicación es inadmisible </w:t>
      </w:r>
      <w:proofErr w:type="spellStart"/>
      <w:r w:rsidR="00481D0B" w:rsidRPr="00B95016">
        <w:rPr>
          <w:i/>
          <w:color w:val="000000"/>
          <w:lang w:val="es-ES_tradnl"/>
        </w:rPr>
        <w:t>ratione</w:t>
      </w:r>
      <w:proofErr w:type="spellEnd"/>
      <w:r w:rsidR="00481D0B" w:rsidRPr="00B95016">
        <w:rPr>
          <w:i/>
          <w:color w:val="000000"/>
          <w:lang w:val="es-ES_tradnl"/>
        </w:rPr>
        <w:t xml:space="preserve"> </w:t>
      </w:r>
      <w:proofErr w:type="spellStart"/>
      <w:r w:rsidR="00481D0B" w:rsidRPr="00B95016">
        <w:rPr>
          <w:i/>
          <w:color w:val="000000"/>
          <w:lang w:val="es-ES_tradnl"/>
        </w:rPr>
        <w:t>materiae</w:t>
      </w:r>
      <w:proofErr w:type="spellEnd"/>
      <w:r w:rsidR="00481D0B">
        <w:rPr>
          <w:color w:val="000000"/>
          <w:lang w:val="es-ES_tradnl"/>
        </w:rPr>
        <w:t xml:space="preserve"> porque el Pacto no reconoce derechos ambientales</w:t>
      </w:r>
      <w:r w:rsidR="006B0B11">
        <w:rPr>
          <w:color w:val="000000"/>
          <w:lang w:val="es-ES_tradnl"/>
        </w:rPr>
        <w:t>,</w:t>
      </w:r>
      <w:r w:rsidR="00EF30A8">
        <w:rPr>
          <w:rStyle w:val="FootnoteReference"/>
          <w:color w:val="000000"/>
          <w:lang w:val="es-ES_tradnl"/>
        </w:rPr>
        <w:footnoteReference w:id="24"/>
      </w:r>
      <w:r w:rsidR="003B228F">
        <w:rPr>
          <w:color w:val="000000"/>
          <w:lang w:val="es-ES_tradnl"/>
        </w:rPr>
        <w:t xml:space="preserve"> </w:t>
      </w:r>
      <w:r w:rsidR="006B0B11">
        <w:rPr>
          <w:color w:val="000000"/>
          <w:lang w:val="es-ES_tradnl"/>
        </w:rPr>
        <w:t>y</w:t>
      </w:r>
      <w:r w:rsidR="008E726A">
        <w:rPr>
          <w:color w:val="000000"/>
          <w:lang w:val="es-ES_tradnl"/>
        </w:rPr>
        <w:t xml:space="preserve"> </w:t>
      </w:r>
      <w:r w:rsidR="00EF30A8">
        <w:rPr>
          <w:color w:val="000000"/>
          <w:lang w:val="es-ES_tradnl"/>
        </w:rPr>
        <w:t>añade que existe una</w:t>
      </w:r>
      <w:r w:rsidR="008E726A">
        <w:rPr>
          <w:color w:val="000000"/>
          <w:lang w:val="es-ES_tradnl"/>
        </w:rPr>
        <w:t xml:space="preserve"> falta de conexión entre los hechos</w:t>
      </w:r>
      <w:r w:rsidR="000B5CD1">
        <w:rPr>
          <w:color w:val="000000"/>
          <w:lang w:val="es-ES_tradnl"/>
        </w:rPr>
        <w:t xml:space="preserve"> </w:t>
      </w:r>
      <w:r w:rsidR="007E3FF0">
        <w:rPr>
          <w:color w:val="000000"/>
          <w:lang w:val="es-ES_tradnl"/>
        </w:rPr>
        <w:t>–relacionados con supuestas infracciones a las normativas administrativas que regulan</w:t>
      </w:r>
      <w:r w:rsidR="007E3FF0" w:rsidRPr="000132B3">
        <w:rPr>
          <w:color w:val="000000"/>
          <w:lang w:val="es-ES_tradnl"/>
        </w:rPr>
        <w:t xml:space="preserve"> </w:t>
      </w:r>
      <w:r w:rsidR="007E3FF0">
        <w:rPr>
          <w:color w:val="000000"/>
          <w:lang w:val="es-ES_tradnl"/>
        </w:rPr>
        <w:t xml:space="preserve">el uso de agroquímicos– </w:t>
      </w:r>
      <w:r w:rsidR="008E726A">
        <w:rPr>
          <w:color w:val="000000"/>
          <w:lang w:val="es-ES_tradnl"/>
        </w:rPr>
        <w:t xml:space="preserve">y derechos </w:t>
      </w:r>
      <w:r w:rsidR="000B5CD1">
        <w:rPr>
          <w:color w:val="000000"/>
          <w:lang w:val="es-ES_tradnl"/>
        </w:rPr>
        <w:t>enunciados</w:t>
      </w:r>
      <w:r w:rsidR="008E726A">
        <w:rPr>
          <w:color w:val="000000"/>
          <w:lang w:val="es-ES_tradnl"/>
        </w:rPr>
        <w:t xml:space="preserve"> en el Pacto</w:t>
      </w:r>
      <w:r w:rsidRPr="004726C0">
        <w:rPr>
          <w:color w:val="000000"/>
          <w:lang w:val="es-ES_tradnl"/>
        </w:rPr>
        <w:t>.</w:t>
      </w:r>
    </w:p>
    <w:p w:rsidR="005D24D0" w:rsidRPr="00B63FB5" w:rsidRDefault="005D24D0" w:rsidP="00750423">
      <w:pPr>
        <w:pStyle w:val="SingleTxtG"/>
        <w:rPr>
          <w:color w:val="000000"/>
          <w:lang w:val="es-ES_tradnl"/>
        </w:rPr>
      </w:pPr>
      <w:r>
        <w:rPr>
          <w:color w:val="000000"/>
          <w:lang w:val="es-ES_tradnl"/>
        </w:rPr>
        <w:t>4.</w:t>
      </w:r>
      <w:r w:rsidR="00EF30A8">
        <w:rPr>
          <w:color w:val="000000"/>
          <w:lang w:val="es-ES_tradnl"/>
        </w:rPr>
        <w:t>2</w:t>
      </w:r>
      <w:r>
        <w:rPr>
          <w:color w:val="000000"/>
          <w:lang w:val="es-ES_tradnl"/>
        </w:rPr>
        <w:tab/>
      </w:r>
      <w:r w:rsidR="00EF30A8">
        <w:rPr>
          <w:color w:val="000000"/>
          <w:lang w:val="es-ES_tradnl"/>
        </w:rPr>
        <w:t>El</w:t>
      </w:r>
      <w:r>
        <w:rPr>
          <w:color w:val="000000"/>
          <w:lang w:val="es-ES_tradnl"/>
        </w:rPr>
        <w:t xml:space="preserve"> Estado parte </w:t>
      </w:r>
      <w:r w:rsidR="00EF30A8">
        <w:rPr>
          <w:color w:val="000000"/>
          <w:lang w:val="es-ES_tradnl"/>
        </w:rPr>
        <w:t xml:space="preserve">defiende asimismo </w:t>
      </w:r>
      <w:r>
        <w:rPr>
          <w:color w:val="000000"/>
          <w:lang w:val="es-ES_tradnl"/>
        </w:rPr>
        <w:t>la inadmisibilidad por falta de agotam</w:t>
      </w:r>
      <w:r w:rsidR="00393C1A">
        <w:rPr>
          <w:color w:val="000000"/>
          <w:lang w:val="es-ES_tradnl"/>
        </w:rPr>
        <w:t xml:space="preserve">iento de los recursos internos, al </w:t>
      </w:r>
      <w:r w:rsidR="00EF30A8">
        <w:rPr>
          <w:color w:val="000000"/>
          <w:lang w:val="es-ES_tradnl"/>
        </w:rPr>
        <w:t xml:space="preserve">ser </w:t>
      </w:r>
      <w:r w:rsidR="00275FCB">
        <w:rPr>
          <w:color w:val="000000"/>
          <w:lang w:val="es-ES_tradnl"/>
        </w:rPr>
        <w:t>los hechos objeto de una causa penal activa</w:t>
      </w:r>
      <w:r w:rsidR="00623B92">
        <w:rPr>
          <w:color w:val="000000"/>
          <w:lang w:val="es-ES_tradnl"/>
        </w:rPr>
        <w:t>.</w:t>
      </w:r>
      <w:r w:rsidR="00E565DB">
        <w:rPr>
          <w:color w:val="000000"/>
          <w:lang w:val="es-ES_tradnl"/>
        </w:rPr>
        <w:t xml:space="preserve"> </w:t>
      </w:r>
      <w:r w:rsidR="004B7160">
        <w:rPr>
          <w:color w:val="000000"/>
          <w:lang w:val="es-ES_tradnl"/>
        </w:rPr>
        <w:t>El Estado parte</w:t>
      </w:r>
      <w:r w:rsidR="00B63FB5">
        <w:rPr>
          <w:color w:val="000000"/>
          <w:lang w:val="es-ES_tradnl"/>
        </w:rPr>
        <w:t xml:space="preserve"> </w:t>
      </w:r>
      <w:r w:rsidR="00EF30A8">
        <w:rPr>
          <w:color w:val="000000"/>
          <w:lang w:val="es-ES_tradnl"/>
        </w:rPr>
        <w:t xml:space="preserve">informa </w:t>
      </w:r>
      <w:r w:rsidR="004B7160">
        <w:rPr>
          <w:color w:val="000000"/>
          <w:lang w:val="es-ES_tradnl"/>
        </w:rPr>
        <w:t xml:space="preserve">de </w:t>
      </w:r>
      <w:r w:rsidR="00C5375D">
        <w:rPr>
          <w:color w:val="000000"/>
          <w:lang w:val="es-ES_tradnl"/>
        </w:rPr>
        <w:t xml:space="preserve">la </w:t>
      </w:r>
      <w:r w:rsidR="009B6F31">
        <w:rPr>
          <w:color w:val="000000"/>
          <w:lang w:val="es-ES_tradnl"/>
        </w:rPr>
        <w:t>reapertura de la causa</w:t>
      </w:r>
      <w:r w:rsidR="00E42483">
        <w:rPr>
          <w:color w:val="000000"/>
          <w:lang w:val="es-ES_tradnl"/>
        </w:rPr>
        <w:t>, de la formulación de</w:t>
      </w:r>
      <w:r w:rsidR="009B6F31">
        <w:rPr>
          <w:color w:val="000000"/>
          <w:lang w:val="es-ES_tradnl"/>
        </w:rPr>
        <w:t xml:space="preserve"> </w:t>
      </w:r>
      <w:r w:rsidR="00E42483">
        <w:rPr>
          <w:color w:val="000000"/>
          <w:lang w:val="es-ES_tradnl"/>
        </w:rPr>
        <w:t xml:space="preserve">la acusación el </w:t>
      </w:r>
      <w:r w:rsidR="00E42483" w:rsidRPr="003E42A3">
        <w:rPr>
          <w:color w:val="000000"/>
          <w:lang w:val="es-ES_tradnl"/>
        </w:rPr>
        <w:t>30 de septiembre de 2017</w:t>
      </w:r>
      <w:r w:rsidR="00E42483">
        <w:rPr>
          <w:color w:val="000000"/>
          <w:lang w:val="es-ES_tradnl"/>
        </w:rPr>
        <w:t xml:space="preserve"> </w:t>
      </w:r>
      <w:r w:rsidR="00F21B2B">
        <w:rPr>
          <w:color w:val="000000"/>
          <w:lang w:val="es-ES_tradnl"/>
        </w:rPr>
        <w:t>en contra de cuatro de l</w:t>
      </w:r>
      <w:r w:rsidR="00B45CC6">
        <w:rPr>
          <w:color w:val="000000"/>
          <w:lang w:val="es-ES_tradnl"/>
        </w:rPr>
        <w:t>a</w:t>
      </w:r>
      <w:r w:rsidR="00F21B2B">
        <w:rPr>
          <w:color w:val="000000"/>
          <w:lang w:val="es-ES_tradnl"/>
        </w:rPr>
        <w:t>s siete</w:t>
      </w:r>
      <w:r w:rsidR="00B45CC6">
        <w:rPr>
          <w:color w:val="000000"/>
          <w:lang w:val="es-ES_tradnl"/>
        </w:rPr>
        <w:t xml:space="preserve"> personas</w:t>
      </w:r>
      <w:r w:rsidR="00F21B2B">
        <w:rPr>
          <w:color w:val="000000"/>
          <w:lang w:val="es-ES_tradnl"/>
        </w:rPr>
        <w:t xml:space="preserve"> inicialmente acusad</w:t>
      </w:r>
      <w:r w:rsidR="00B45CC6">
        <w:rPr>
          <w:color w:val="000000"/>
          <w:lang w:val="es-ES_tradnl"/>
        </w:rPr>
        <w:t>a</w:t>
      </w:r>
      <w:r w:rsidR="00371895">
        <w:rPr>
          <w:color w:val="000000"/>
          <w:lang w:val="es-ES_tradnl"/>
        </w:rPr>
        <w:t>s</w:t>
      </w:r>
      <w:r w:rsidR="00E05967">
        <w:rPr>
          <w:color w:val="000000"/>
          <w:lang w:val="es-ES_tradnl"/>
        </w:rPr>
        <w:t>,</w:t>
      </w:r>
      <w:r w:rsidR="00E42483">
        <w:rPr>
          <w:rStyle w:val="FootnoteReference"/>
          <w:color w:val="000000"/>
          <w:lang w:val="es-ES_tradnl"/>
        </w:rPr>
        <w:footnoteReference w:id="25"/>
      </w:r>
      <w:r w:rsidR="006E2C74">
        <w:rPr>
          <w:color w:val="000000"/>
          <w:lang w:val="es-ES_tradnl"/>
        </w:rPr>
        <w:t xml:space="preserve"> </w:t>
      </w:r>
      <w:r w:rsidR="00E42483">
        <w:rPr>
          <w:color w:val="000000"/>
          <w:lang w:val="es-ES_tradnl"/>
        </w:rPr>
        <w:t xml:space="preserve">y </w:t>
      </w:r>
      <w:r w:rsidR="00EF30A8">
        <w:rPr>
          <w:color w:val="000000"/>
          <w:lang w:val="es-ES_tradnl"/>
        </w:rPr>
        <w:t>del señalamiento de una</w:t>
      </w:r>
      <w:r w:rsidR="00C63D0E">
        <w:rPr>
          <w:color w:val="000000"/>
          <w:lang w:val="es-ES_tradnl"/>
        </w:rPr>
        <w:t xml:space="preserve"> audiencia preliminar para el 27 de septiembre de 2018.</w:t>
      </w:r>
      <w:r w:rsidR="00025A87">
        <w:rPr>
          <w:color w:val="000000"/>
          <w:lang w:val="es-ES_tradnl"/>
        </w:rPr>
        <w:t xml:space="preserve"> </w:t>
      </w:r>
      <w:r w:rsidR="00E42483">
        <w:rPr>
          <w:color w:val="000000"/>
          <w:lang w:val="es-ES_tradnl"/>
        </w:rPr>
        <w:t>E</w:t>
      </w:r>
      <w:r w:rsidR="006400E6">
        <w:rPr>
          <w:color w:val="000000"/>
          <w:lang w:val="es-ES_tradnl"/>
        </w:rPr>
        <w:t xml:space="preserve">l Estado parte sostiene que, de dictarse sentencia de condena, se otorgará </w:t>
      </w:r>
      <w:r w:rsidR="006400E6" w:rsidRPr="007C0AA6">
        <w:rPr>
          <w:color w:val="000000"/>
          <w:lang w:val="es-ES_tradnl"/>
        </w:rPr>
        <w:t>satisfacción</w:t>
      </w:r>
      <w:r w:rsidR="006400E6">
        <w:rPr>
          <w:color w:val="000000"/>
          <w:lang w:val="es-ES_tradnl"/>
        </w:rPr>
        <w:t xml:space="preserve"> a los derechos de los autores.</w:t>
      </w:r>
      <w:r w:rsidR="00750423">
        <w:rPr>
          <w:color w:val="000000"/>
          <w:lang w:val="es-ES_tradnl"/>
        </w:rPr>
        <w:t xml:space="preserve"> </w:t>
      </w:r>
      <w:r w:rsidR="004A171E">
        <w:rPr>
          <w:color w:val="000000"/>
          <w:lang w:val="es-ES_tradnl"/>
        </w:rPr>
        <w:t>El Estado</w:t>
      </w:r>
      <w:r w:rsidR="005F4D17">
        <w:rPr>
          <w:color w:val="000000"/>
          <w:lang w:val="es-ES_tradnl"/>
        </w:rPr>
        <w:t xml:space="preserve"> d</w:t>
      </w:r>
      <w:r w:rsidR="00526997">
        <w:rPr>
          <w:color w:val="000000"/>
          <w:lang w:val="es-ES_tradnl"/>
        </w:rPr>
        <w:t>efiende que no hay prolongación injustificada</w:t>
      </w:r>
      <w:r w:rsidR="00416A3F">
        <w:rPr>
          <w:color w:val="000000"/>
          <w:lang w:val="es-ES_tradnl"/>
        </w:rPr>
        <w:t xml:space="preserve">, ya </w:t>
      </w:r>
      <w:r w:rsidR="005F4D17">
        <w:rPr>
          <w:color w:val="000000"/>
          <w:lang w:val="es-ES_tradnl"/>
        </w:rPr>
        <w:t>que</w:t>
      </w:r>
      <w:r w:rsidR="001978D0">
        <w:rPr>
          <w:color w:val="000000"/>
          <w:lang w:val="es-ES_tradnl"/>
        </w:rPr>
        <w:t>: a)</w:t>
      </w:r>
      <w:r w:rsidR="005F4D17">
        <w:rPr>
          <w:color w:val="000000"/>
          <w:lang w:val="es-ES_tradnl"/>
        </w:rPr>
        <w:t xml:space="preserve"> </w:t>
      </w:r>
      <w:r w:rsidR="00BC522B">
        <w:rPr>
          <w:color w:val="000000"/>
          <w:lang w:val="es-ES_tradnl"/>
        </w:rPr>
        <w:t>se actuó siguiendo el principio de objetividad y respetando el derecho a la presunción de inocencia</w:t>
      </w:r>
      <w:r w:rsidR="004F6D50">
        <w:rPr>
          <w:color w:val="000000"/>
          <w:lang w:val="es-ES_tradnl"/>
        </w:rPr>
        <w:t>;</w:t>
      </w:r>
      <w:r w:rsidR="00E92DB6">
        <w:rPr>
          <w:color w:val="000000"/>
          <w:lang w:val="es-ES_tradnl"/>
        </w:rPr>
        <w:t xml:space="preserve"> </w:t>
      </w:r>
      <w:r w:rsidR="004F6D50">
        <w:rPr>
          <w:color w:val="000000"/>
          <w:lang w:val="es-ES_tradnl"/>
        </w:rPr>
        <w:t xml:space="preserve">b) </w:t>
      </w:r>
      <w:r w:rsidR="00E92DB6">
        <w:rPr>
          <w:color w:val="000000"/>
          <w:lang w:val="es-ES_tradnl"/>
        </w:rPr>
        <w:t>el caso es complejo</w:t>
      </w:r>
      <w:r w:rsidR="00451239">
        <w:rPr>
          <w:color w:val="000000"/>
          <w:lang w:val="es-ES_tradnl"/>
        </w:rPr>
        <w:t xml:space="preserve"> </w:t>
      </w:r>
      <w:r w:rsidR="00D2224D">
        <w:rPr>
          <w:color w:val="000000"/>
          <w:lang w:val="es-ES_tradnl"/>
        </w:rPr>
        <w:t>al</w:t>
      </w:r>
      <w:r w:rsidR="00451239">
        <w:rPr>
          <w:color w:val="000000"/>
          <w:lang w:val="es-ES_tradnl"/>
        </w:rPr>
        <w:t xml:space="preserve"> investig</w:t>
      </w:r>
      <w:r w:rsidR="00D2224D">
        <w:rPr>
          <w:color w:val="000000"/>
          <w:lang w:val="es-ES_tradnl"/>
        </w:rPr>
        <w:t>arse</w:t>
      </w:r>
      <w:r w:rsidR="00451239">
        <w:rPr>
          <w:color w:val="000000"/>
          <w:lang w:val="es-ES_tradnl"/>
        </w:rPr>
        <w:t xml:space="preserve"> un número importante de personas y </w:t>
      </w:r>
      <w:r w:rsidR="005462EA">
        <w:rPr>
          <w:color w:val="000000"/>
          <w:lang w:val="es-ES_tradnl"/>
        </w:rPr>
        <w:t>requerir</w:t>
      </w:r>
      <w:r w:rsidR="00E55B3E">
        <w:rPr>
          <w:color w:val="000000"/>
          <w:lang w:val="es-ES_tradnl"/>
        </w:rPr>
        <w:t xml:space="preserve"> pruebas </w:t>
      </w:r>
      <w:r w:rsidR="00451239">
        <w:rPr>
          <w:color w:val="000000"/>
          <w:lang w:val="es-ES_tradnl"/>
        </w:rPr>
        <w:t>técnicas</w:t>
      </w:r>
      <w:r w:rsidR="00E55B3E">
        <w:rPr>
          <w:color w:val="000000"/>
          <w:lang w:val="es-ES_tradnl"/>
        </w:rPr>
        <w:t>;</w:t>
      </w:r>
      <w:r w:rsidR="00D943C5">
        <w:rPr>
          <w:color w:val="000000"/>
          <w:lang w:val="es-ES_tradnl"/>
        </w:rPr>
        <w:t xml:space="preserve"> y</w:t>
      </w:r>
      <w:r w:rsidR="00E55B3E">
        <w:rPr>
          <w:color w:val="000000"/>
          <w:lang w:val="es-ES_tradnl"/>
        </w:rPr>
        <w:t xml:space="preserve"> c)</w:t>
      </w:r>
      <w:r w:rsidR="00D943C5">
        <w:rPr>
          <w:color w:val="000000"/>
          <w:lang w:val="es-ES_tradnl"/>
        </w:rPr>
        <w:t xml:space="preserve"> el proceso se ha interrumpido en varias ocasiones por la rebeldía de los procesados</w:t>
      </w:r>
      <w:r w:rsidR="00DF4C3C">
        <w:rPr>
          <w:color w:val="000000" w:themeColor="text1"/>
          <w:lang w:val="es-ES_tradnl"/>
        </w:rPr>
        <w:t>.</w:t>
      </w:r>
    </w:p>
    <w:p w:rsidR="00351CF1" w:rsidRDefault="00351CF1" w:rsidP="004726C0">
      <w:pPr>
        <w:pStyle w:val="SingleTxtG"/>
        <w:rPr>
          <w:color w:val="000000"/>
          <w:lang w:val="es-ES_tradnl"/>
        </w:rPr>
      </w:pPr>
      <w:r>
        <w:rPr>
          <w:color w:val="000000"/>
          <w:lang w:val="es-ES_tradnl"/>
        </w:rPr>
        <w:t>4.</w:t>
      </w:r>
      <w:r w:rsidR="00EF30A8">
        <w:rPr>
          <w:color w:val="000000"/>
          <w:lang w:val="es-ES_tradnl"/>
        </w:rPr>
        <w:t>3</w:t>
      </w:r>
      <w:r>
        <w:rPr>
          <w:color w:val="000000"/>
          <w:lang w:val="es-ES_tradnl"/>
        </w:rPr>
        <w:tab/>
      </w:r>
      <w:r w:rsidR="00A21F88">
        <w:rPr>
          <w:color w:val="000000"/>
          <w:lang w:val="es-ES_tradnl"/>
        </w:rPr>
        <w:t>E</w:t>
      </w:r>
      <w:r w:rsidR="00774792">
        <w:rPr>
          <w:color w:val="000000"/>
          <w:lang w:val="es-ES_tradnl"/>
        </w:rPr>
        <w:t xml:space="preserve">l Estado parte sostiene </w:t>
      </w:r>
      <w:r w:rsidR="00A21F88">
        <w:rPr>
          <w:color w:val="000000"/>
          <w:lang w:val="es-ES_tradnl"/>
        </w:rPr>
        <w:t xml:space="preserve">también </w:t>
      </w:r>
      <w:r w:rsidR="00774792">
        <w:rPr>
          <w:color w:val="000000"/>
          <w:lang w:val="es-ES_tradnl"/>
        </w:rPr>
        <w:t xml:space="preserve">que los autores tenían disponibles recursos </w:t>
      </w:r>
      <w:r w:rsidR="003A7F6F">
        <w:rPr>
          <w:color w:val="000000"/>
          <w:lang w:val="es-ES_tradnl"/>
        </w:rPr>
        <w:t xml:space="preserve">con mayor e inmediata solución </w:t>
      </w:r>
      <w:r>
        <w:rPr>
          <w:color w:val="000000"/>
          <w:lang w:val="es-ES_tradnl"/>
        </w:rPr>
        <w:t>en el ámbito civil,</w:t>
      </w:r>
      <w:r w:rsidR="009601A4">
        <w:rPr>
          <w:color w:val="000000"/>
          <w:lang w:val="es-ES_tradnl"/>
        </w:rPr>
        <w:t xml:space="preserve"> </w:t>
      </w:r>
      <w:r w:rsidR="003A7F6F">
        <w:rPr>
          <w:color w:val="000000"/>
          <w:lang w:val="es-ES_tradnl"/>
        </w:rPr>
        <w:t>como</w:t>
      </w:r>
      <w:r w:rsidR="008171A2">
        <w:rPr>
          <w:color w:val="000000"/>
          <w:lang w:val="es-ES_tradnl"/>
        </w:rPr>
        <w:t xml:space="preserve"> las acciones civiles posesorias a efectos de precautelar la posesión de la propiedad privada</w:t>
      </w:r>
      <w:r w:rsidR="00053D04">
        <w:rPr>
          <w:color w:val="000000"/>
          <w:lang w:val="es-ES_tradnl"/>
        </w:rPr>
        <w:t>,</w:t>
      </w:r>
      <w:r w:rsidR="008171A2">
        <w:rPr>
          <w:color w:val="000000"/>
          <w:lang w:val="es-ES_tradnl"/>
        </w:rPr>
        <w:t xml:space="preserve"> </w:t>
      </w:r>
      <w:r w:rsidR="00053D04">
        <w:rPr>
          <w:color w:val="000000"/>
          <w:lang w:val="es-ES_tradnl"/>
        </w:rPr>
        <w:t xml:space="preserve">hacer cesar las acciones ilícitas </w:t>
      </w:r>
      <w:r w:rsidR="008171A2">
        <w:rPr>
          <w:color w:val="000000"/>
          <w:lang w:val="es-ES_tradnl"/>
        </w:rPr>
        <w:t>y reclamar la correspondiente indem</w:t>
      </w:r>
      <w:r w:rsidR="00A21F88">
        <w:rPr>
          <w:color w:val="000000"/>
          <w:lang w:val="es-ES_tradnl"/>
        </w:rPr>
        <w:t>nización de daños y perjuicios</w:t>
      </w:r>
      <w:r w:rsidR="00053D04">
        <w:rPr>
          <w:color w:val="000000"/>
          <w:lang w:val="es-ES_tradnl"/>
        </w:rPr>
        <w:t>.</w:t>
      </w:r>
      <w:r w:rsidR="005B43CE">
        <w:rPr>
          <w:rStyle w:val="FootnoteReference"/>
          <w:color w:val="000000"/>
          <w:lang w:val="es-ES_tradnl"/>
        </w:rPr>
        <w:footnoteReference w:id="26"/>
      </w:r>
    </w:p>
    <w:p w:rsidR="005816F5" w:rsidRPr="00CE21C9" w:rsidRDefault="005816F5" w:rsidP="00204B55">
      <w:pPr>
        <w:pStyle w:val="SingleTxtG"/>
        <w:rPr>
          <w:lang w:val="es-ES_tradnl"/>
        </w:rPr>
      </w:pPr>
      <w:r>
        <w:rPr>
          <w:color w:val="000000"/>
          <w:lang w:val="es-ES_tradnl"/>
        </w:rPr>
        <w:lastRenderedPageBreak/>
        <w:t>4.</w:t>
      </w:r>
      <w:r w:rsidR="00EF30A8">
        <w:rPr>
          <w:color w:val="000000"/>
          <w:lang w:val="es-ES_tradnl"/>
        </w:rPr>
        <w:t>4</w:t>
      </w:r>
      <w:r>
        <w:rPr>
          <w:color w:val="000000"/>
          <w:lang w:val="es-ES_tradnl"/>
        </w:rPr>
        <w:tab/>
        <w:t xml:space="preserve">En cuanto al fondo, </w:t>
      </w:r>
      <w:r w:rsidR="00204B55" w:rsidRPr="00FD2F71">
        <w:rPr>
          <w:color w:val="000000"/>
          <w:lang w:val="es-ES_tradnl"/>
        </w:rPr>
        <w:t>el Estado parte sostiene que</w:t>
      </w:r>
      <w:r w:rsidR="00204B55">
        <w:rPr>
          <w:color w:val="000000"/>
          <w:lang w:val="es-ES_tradnl"/>
        </w:rPr>
        <w:t xml:space="preserve"> no violó</w:t>
      </w:r>
      <w:r w:rsidR="00204B55" w:rsidRPr="00204B55">
        <w:rPr>
          <w:color w:val="000000"/>
          <w:lang w:val="es-ES_tradnl"/>
        </w:rPr>
        <w:t xml:space="preserve"> </w:t>
      </w:r>
      <w:r w:rsidR="00204B55" w:rsidRPr="00FD2F71">
        <w:rPr>
          <w:color w:val="000000"/>
          <w:lang w:val="es-ES_tradnl"/>
        </w:rPr>
        <w:t>los artículos 6 y 7</w:t>
      </w:r>
      <w:r w:rsidR="000F5558" w:rsidRPr="000F5558">
        <w:rPr>
          <w:color w:val="000000"/>
          <w:lang w:val="es-ES_tradnl"/>
        </w:rPr>
        <w:t xml:space="preserve"> </w:t>
      </w:r>
      <w:r w:rsidR="00EF30A8">
        <w:rPr>
          <w:color w:val="000000"/>
          <w:lang w:val="es-ES_tradnl"/>
        </w:rPr>
        <w:t xml:space="preserve">del Pacto </w:t>
      </w:r>
      <w:r w:rsidR="000F5558">
        <w:rPr>
          <w:color w:val="000000"/>
          <w:lang w:val="es-ES_tradnl"/>
        </w:rPr>
        <w:t xml:space="preserve">porque </w:t>
      </w:r>
      <w:r w:rsidR="000F5558" w:rsidRPr="00FD2F71">
        <w:rPr>
          <w:color w:val="000000"/>
          <w:lang w:val="es-ES_tradnl"/>
        </w:rPr>
        <w:t xml:space="preserve">los autores no </w:t>
      </w:r>
      <w:r w:rsidR="000F5558">
        <w:rPr>
          <w:color w:val="000000"/>
          <w:lang w:val="es-ES_tradnl"/>
        </w:rPr>
        <w:t>demostraron</w:t>
      </w:r>
      <w:r w:rsidR="000F5558" w:rsidRPr="00FD2F71">
        <w:rPr>
          <w:color w:val="000000"/>
          <w:lang w:val="es-ES_tradnl"/>
        </w:rPr>
        <w:t xml:space="preserve"> haber sido intoxicados p</w:t>
      </w:r>
      <w:r w:rsidR="000F5558">
        <w:rPr>
          <w:color w:val="000000"/>
          <w:lang w:val="es-ES_tradnl"/>
        </w:rPr>
        <w:t>or la acción de algún pesticida</w:t>
      </w:r>
      <w:r w:rsidR="00204B55">
        <w:rPr>
          <w:color w:val="000000"/>
          <w:lang w:val="es-ES_tradnl"/>
        </w:rPr>
        <w:t xml:space="preserve">, ya que los </w:t>
      </w:r>
      <w:r w:rsidR="00204B55" w:rsidRPr="00FD2F71">
        <w:rPr>
          <w:color w:val="000000"/>
          <w:lang w:val="es-ES_tradnl"/>
        </w:rPr>
        <w:t xml:space="preserve">análisis de sangre y orina arrojaron valores </w:t>
      </w:r>
      <w:r w:rsidR="000F5558">
        <w:rPr>
          <w:color w:val="000000"/>
          <w:lang w:val="es-ES_tradnl"/>
        </w:rPr>
        <w:t>“</w:t>
      </w:r>
      <w:r w:rsidR="00204B55" w:rsidRPr="00FD2F71">
        <w:rPr>
          <w:color w:val="000000"/>
          <w:lang w:val="es-ES_tradnl"/>
        </w:rPr>
        <w:t>dentro de los parámetros normales, sin residuos tóxicos en su organismo”</w:t>
      </w:r>
      <w:r w:rsidR="00B862CE">
        <w:rPr>
          <w:rStyle w:val="FootnoteReference"/>
          <w:color w:val="000000"/>
          <w:lang w:val="es-ES_tradnl"/>
        </w:rPr>
        <w:footnoteReference w:id="27"/>
      </w:r>
      <w:r w:rsidR="00204B55" w:rsidRPr="00FD2F71">
        <w:rPr>
          <w:color w:val="000000"/>
          <w:lang w:val="es-ES_tradnl"/>
        </w:rPr>
        <w:t xml:space="preserve">. </w:t>
      </w:r>
      <w:r w:rsidR="00865CE0">
        <w:rPr>
          <w:color w:val="000000"/>
          <w:lang w:val="es-ES_tradnl"/>
        </w:rPr>
        <w:t xml:space="preserve">Asimismo, el Estado parte sostiene que el </w:t>
      </w:r>
      <w:proofErr w:type="spellStart"/>
      <w:r w:rsidR="00AD5C88">
        <w:rPr>
          <w:color w:val="000000"/>
          <w:lang w:val="es-ES_tradnl"/>
        </w:rPr>
        <w:t>Lindano</w:t>
      </w:r>
      <w:proofErr w:type="spellEnd"/>
      <w:r w:rsidR="00AD5C88">
        <w:rPr>
          <w:color w:val="000000"/>
          <w:lang w:val="es-ES_tradnl"/>
        </w:rPr>
        <w:t xml:space="preserve"> es el único </w:t>
      </w:r>
      <w:r w:rsidR="00204B55" w:rsidRPr="00FD2F71">
        <w:rPr>
          <w:color w:val="000000"/>
          <w:lang w:val="es-ES_tradnl"/>
        </w:rPr>
        <w:t xml:space="preserve">principio activo </w:t>
      </w:r>
      <w:r w:rsidR="00AD5C88">
        <w:rPr>
          <w:color w:val="000000"/>
          <w:lang w:val="es-ES_tradnl"/>
        </w:rPr>
        <w:t>encontrado</w:t>
      </w:r>
      <w:r w:rsidR="00AD5C88" w:rsidRPr="00FD2F71">
        <w:rPr>
          <w:color w:val="000000"/>
          <w:lang w:val="es-ES_tradnl"/>
        </w:rPr>
        <w:t xml:space="preserve"> </w:t>
      </w:r>
      <w:r w:rsidR="00AD5C88">
        <w:rPr>
          <w:color w:val="000000"/>
          <w:lang w:val="es-ES_tradnl"/>
        </w:rPr>
        <w:t>con una</w:t>
      </w:r>
      <w:r w:rsidR="00AD5C88" w:rsidRPr="00FD2F71">
        <w:rPr>
          <w:color w:val="000000"/>
          <w:lang w:val="es-ES_tradnl"/>
        </w:rPr>
        <w:t xml:space="preserve"> </w:t>
      </w:r>
      <w:r w:rsidR="00204B55" w:rsidRPr="00FD2F71">
        <w:rPr>
          <w:color w:val="000000"/>
          <w:lang w:val="es-ES_tradnl"/>
        </w:rPr>
        <w:t xml:space="preserve">concentración detectada </w:t>
      </w:r>
      <w:r w:rsidR="00AD5C88">
        <w:rPr>
          <w:color w:val="000000"/>
          <w:lang w:val="es-ES_tradnl"/>
        </w:rPr>
        <w:t xml:space="preserve">por encima del </w:t>
      </w:r>
      <w:r w:rsidR="00AD5C88" w:rsidRPr="00FD2F71">
        <w:rPr>
          <w:color w:val="000000"/>
          <w:lang w:val="es-ES_tradnl"/>
        </w:rPr>
        <w:t xml:space="preserve">límite máximo establecido </w:t>
      </w:r>
      <w:r w:rsidR="00AD5C88">
        <w:rPr>
          <w:color w:val="000000"/>
          <w:lang w:val="es-ES_tradnl"/>
        </w:rPr>
        <w:t>(</w:t>
      </w:r>
      <w:r w:rsidR="00204B55" w:rsidRPr="00FD2F71">
        <w:rPr>
          <w:color w:val="000000"/>
          <w:lang w:val="es-ES_tradnl"/>
        </w:rPr>
        <w:t xml:space="preserve">0,03 mg/kg </w:t>
      </w:r>
      <w:r w:rsidR="00AD5C88">
        <w:rPr>
          <w:color w:val="000000"/>
          <w:lang w:val="es-ES_tradnl"/>
        </w:rPr>
        <w:t>en vez</w:t>
      </w:r>
      <w:r w:rsidR="0065305A">
        <w:rPr>
          <w:color w:val="000000"/>
          <w:lang w:val="es-ES_tradnl"/>
        </w:rPr>
        <w:t xml:space="preserve"> de </w:t>
      </w:r>
      <w:r w:rsidR="00204B55" w:rsidRPr="00FD2F71">
        <w:rPr>
          <w:color w:val="000000"/>
          <w:lang w:val="es-ES_tradnl"/>
        </w:rPr>
        <w:t>0,01 mg/kg</w:t>
      </w:r>
      <w:r w:rsidR="00AD5C88">
        <w:rPr>
          <w:color w:val="000000"/>
          <w:lang w:val="es-ES_tradnl"/>
        </w:rPr>
        <w:t>)</w:t>
      </w:r>
      <w:r w:rsidR="00204B55" w:rsidRPr="00FD2F71">
        <w:rPr>
          <w:color w:val="000000"/>
          <w:lang w:val="es-ES_tradnl"/>
        </w:rPr>
        <w:t xml:space="preserve">. </w:t>
      </w:r>
      <w:r w:rsidR="00AD74BB">
        <w:rPr>
          <w:color w:val="000000"/>
          <w:lang w:val="es-ES_tradnl"/>
        </w:rPr>
        <w:t>E</w:t>
      </w:r>
      <w:r w:rsidR="00204B55" w:rsidRPr="00FD2F71">
        <w:rPr>
          <w:color w:val="000000"/>
          <w:lang w:val="es-ES_tradnl"/>
        </w:rPr>
        <w:t>l Estado subraya</w:t>
      </w:r>
      <w:r w:rsidR="00AD74BB">
        <w:rPr>
          <w:color w:val="000000"/>
          <w:lang w:val="es-ES_tradnl"/>
        </w:rPr>
        <w:t xml:space="preserve"> también </w:t>
      </w:r>
      <w:r w:rsidR="00204B55" w:rsidRPr="00FD2F71">
        <w:rPr>
          <w:color w:val="000000"/>
          <w:lang w:val="es-ES_tradnl"/>
        </w:rPr>
        <w:t xml:space="preserve">que los autores mencionaron fiebre cuando en realidad la “fiebre no es uno de los síntomas comunes de la intoxicación por </w:t>
      </w:r>
      <w:proofErr w:type="spellStart"/>
      <w:r w:rsidR="00204B55" w:rsidRPr="00FD2F71">
        <w:rPr>
          <w:color w:val="000000"/>
          <w:lang w:val="es-ES_tradnl"/>
        </w:rPr>
        <w:t>Lindano</w:t>
      </w:r>
      <w:proofErr w:type="spellEnd"/>
      <w:r w:rsidR="00204B55" w:rsidRPr="00FD2F71">
        <w:rPr>
          <w:color w:val="000000"/>
          <w:lang w:val="es-ES_tradnl"/>
        </w:rPr>
        <w:t>”.</w:t>
      </w:r>
    </w:p>
    <w:p w:rsidR="00E70195" w:rsidRPr="00FD2F71" w:rsidRDefault="00A1311B" w:rsidP="00FD2F71">
      <w:pPr>
        <w:pStyle w:val="SingleTxtG"/>
        <w:rPr>
          <w:color w:val="000000"/>
          <w:lang w:val="es-ES_tradnl"/>
        </w:rPr>
      </w:pPr>
      <w:r w:rsidRPr="00FD2F71">
        <w:rPr>
          <w:color w:val="000000"/>
          <w:lang w:val="es-ES_tradnl"/>
        </w:rPr>
        <w:t>4.</w:t>
      </w:r>
      <w:r w:rsidR="00EF30A8">
        <w:rPr>
          <w:color w:val="000000"/>
          <w:lang w:val="es-ES_tradnl"/>
        </w:rPr>
        <w:t>5</w:t>
      </w:r>
      <w:r w:rsidRPr="00FD2F71">
        <w:rPr>
          <w:color w:val="000000"/>
          <w:lang w:val="es-ES_tradnl"/>
        </w:rPr>
        <w:tab/>
      </w:r>
      <w:r w:rsidR="000F5E2D">
        <w:rPr>
          <w:color w:val="000000"/>
          <w:lang w:val="es-ES_tradnl"/>
        </w:rPr>
        <w:t xml:space="preserve">En cuanto a </w:t>
      </w:r>
      <w:r w:rsidR="000F5E2D" w:rsidRPr="00204B55">
        <w:rPr>
          <w:color w:val="000000"/>
          <w:lang w:val="es-ES_tradnl"/>
        </w:rPr>
        <w:t>la supuesta violación del artículo 17</w:t>
      </w:r>
      <w:r w:rsidR="00EF30A8">
        <w:rPr>
          <w:color w:val="000000"/>
          <w:lang w:val="es-ES_tradnl"/>
        </w:rPr>
        <w:t xml:space="preserve"> del Pacto</w:t>
      </w:r>
      <w:r w:rsidR="000F5E2D">
        <w:rPr>
          <w:color w:val="000000"/>
          <w:lang w:val="es-ES_tradnl"/>
        </w:rPr>
        <w:t xml:space="preserve">, </w:t>
      </w:r>
      <w:r w:rsidR="00204B55" w:rsidRPr="00204B55">
        <w:rPr>
          <w:color w:val="000000"/>
          <w:lang w:val="es-ES_tradnl"/>
        </w:rPr>
        <w:t xml:space="preserve">el Estado parte </w:t>
      </w:r>
      <w:r w:rsidR="000F5E2D">
        <w:rPr>
          <w:color w:val="000000"/>
          <w:lang w:val="es-ES_tradnl"/>
        </w:rPr>
        <w:t>defiende que, al contar</w:t>
      </w:r>
      <w:r w:rsidR="00204B55" w:rsidRPr="00204B55">
        <w:rPr>
          <w:color w:val="000000"/>
          <w:lang w:val="es-ES_tradnl"/>
        </w:rPr>
        <w:t xml:space="preserve"> con cuerpos legales que protegen el medio ambiente y con órganos de control y aplicación de sanciones, la omisión </w:t>
      </w:r>
      <w:r w:rsidR="000F5E2D">
        <w:rPr>
          <w:color w:val="000000"/>
          <w:lang w:val="es-ES_tradnl"/>
        </w:rPr>
        <w:t>de control o vigilancia resulta difícil</w:t>
      </w:r>
      <w:r w:rsidR="00204B55" w:rsidRPr="00204B55">
        <w:rPr>
          <w:color w:val="000000"/>
          <w:lang w:val="es-ES_tradnl"/>
        </w:rPr>
        <w:t xml:space="preserve">. El Estado indica además que los hechos denunciados </w:t>
      </w:r>
      <w:r w:rsidR="00204B55" w:rsidRPr="002A1ECD">
        <w:rPr>
          <w:color w:val="000000"/>
          <w:lang w:val="es-ES_tradnl"/>
        </w:rPr>
        <w:t xml:space="preserve">constituyen un caso aislado, en el cual se han aplicado sanciones </w:t>
      </w:r>
      <w:r w:rsidR="00480843" w:rsidRPr="002A1ECD">
        <w:rPr>
          <w:color w:val="000000"/>
          <w:lang w:val="es-ES_tradnl"/>
        </w:rPr>
        <w:t xml:space="preserve">administrativas a </w:t>
      </w:r>
      <w:r w:rsidR="00D00504" w:rsidRPr="002A1ECD">
        <w:rPr>
          <w:color w:val="000000"/>
          <w:lang w:val="es-ES_tradnl"/>
        </w:rPr>
        <w:t>las dos grandes explotaciones agrícolas colindantes con las viviendas de los autores</w:t>
      </w:r>
      <w:r w:rsidR="008858F7" w:rsidRPr="002A1ECD">
        <w:rPr>
          <w:color w:val="000000"/>
          <w:lang w:val="es-ES_tradnl"/>
        </w:rPr>
        <w:t>. Al respecto,</w:t>
      </w:r>
      <w:r w:rsidR="00D00504" w:rsidRPr="002A1ECD">
        <w:rPr>
          <w:color w:val="000000"/>
          <w:lang w:val="es-ES_tradnl"/>
        </w:rPr>
        <w:t xml:space="preserve"> </w:t>
      </w:r>
      <w:r w:rsidR="008858F7" w:rsidRPr="002A1ECD">
        <w:rPr>
          <w:color w:val="000000"/>
          <w:lang w:val="es-ES_tradnl"/>
        </w:rPr>
        <w:t>por haber</w:t>
      </w:r>
      <w:r w:rsidR="00D00504" w:rsidRPr="002A1ECD">
        <w:rPr>
          <w:color w:val="000000"/>
          <w:lang w:val="es-ES_tradnl"/>
        </w:rPr>
        <w:t xml:space="preserve"> violado</w:t>
      </w:r>
      <w:r w:rsidR="00D00504">
        <w:rPr>
          <w:color w:val="000000"/>
          <w:lang w:val="es-ES_tradnl"/>
        </w:rPr>
        <w:t xml:space="preserve"> normas ambientales</w:t>
      </w:r>
      <w:r w:rsidR="008858F7">
        <w:rPr>
          <w:color w:val="000000"/>
          <w:lang w:val="es-ES_tradnl"/>
        </w:rPr>
        <w:t>,</w:t>
      </w:r>
      <w:r w:rsidR="0055091E" w:rsidRPr="0055091E">
        <w:rPr>
          <w:color w:val="000000"/>
          <w:lang w:val="es-ES_tradnl"/>
        </w:rPr>
        <w:t xml:space="preserve"> </w:t>
      </w:r>
      <w:r w:rsidR="008858F7">
        <w:rPr>
          <w:color w:val="000000"/>
          <w:lang w:val="es-ES_tradnl"/>
        </w:rPr>
        <w:t>se han</w:t>
      </w:r>
      <w:r w:rsidR="0055091E">
        <w:rPr>
          <w:color w:val="000000"/>
          <w:lang w:val="es-ES_tradnl"/>
        </w:rPr>
        <w:t xml:space="preserve"> </w:t>
      </w:r>
      <w:r w:rsidR="0055091E">
        <w:rPr>
          <w:lang w:val="es-ES_tradnl"/>
        </w:rPr>
        <w:t>instrui</w:t>
      </w:r>
      <w:r w:rsidR="0055091E" w:rsidRPr="00785A39">
        <w:rPr>
          <w:lang w:val="es-ES_tradnl"/>
        </w:rPr>
        <w:t xml:space="preserve">do sumarios administrativos que han concluido por resolución </w:t>
      </w:r>
      <w:r w:rsidR="008858F7">
        <w:rPr>
          <w:lang w:val="es-ES_tradnl"/>
        </w:rPr>
        <w:t xml:space="preserve">número </w:t>
      </w:r>
      <w:r w:rsidR="0055091E">
        <w:rPr>
          <w:lang w:val="es-ES_tradnl"/>
        </w:rPr>
        <w:t xml:space="preserve">217/2018 de 13 de abril </w:t>
      </w:r>
      <w:r w:rsidR="0055091E" w:rsidRPr="00785A39">
        <w:rPr>
          <w:lang w:val="es-ES_tradnl"/>
        </w:rPr>
        <w:t xml:space="preserve">en </w:t>
      </w:r>
      <w:r w:rsidR="0055091E">
        <w:rPr>
          <w:lang w:val="es-ES_tradnl"/>
        </w:rPr>
        <w:t>el caso de la empresa Cóndor SA,</w:t>
      </w:r>
      <w:r w:rsidR="0055091E" w:rsidRPr="00785A39">
        <w:rPr>
          <w:lang w:val="es-ES_tradnl"/>
        </w:rPr>
        <w:t xml:space="preserve"> y 250/2018 de 26 de abril</w:t>
      </w:r>
      <w:r w:rsidR="0055091E">
        <w:rPr>
          <w:lang w:val="es-ES_tradnl"/>
        </w:rPr>
        <w:t xml:space="preserve"> </w:t>
      </w:r>
      <w:r w:rsidR="0055091E" w:rsidRPr="00785A39">
        <w:rPr>
          <w:lang w:val="es-ES_tradnl"/>
        </w:rPr>
        <w:t xml:space="preserve">en el caso de la empresa Hermanos </w:t>
      </w:r>
      <w:proofErr w:type="spellStart"/>
      <w:r w:rsidR="0055091E" w:rsidRPr="00785A39">
        <w:rPr>
          <w:lang w:val="es-ES_tradnl"/>
        </w:rPr>
        <w:t>Galhera</w:t>
      </w:r>
      <w:proofErr w:type="spellEnd"/>
      <w:r w:rsidR="0055091E" w:rsidRPr="00785A39">
        <w:rPr>
          <w:lang w:val="es-ES_tradnl"/>
        </w:rPr>
        <w:t xml:space="preserve"> </w:t>
      </w:r>
      <w:proofErr w:type="spellStart"/>
      <w:r w:rsidR="0055091E" w:rsidRPr="00785A39">
        <w:rPr>
          <w:lang w:val="es-ES_tradnl"/>
        </w:rPr>
        <w:t>Agrovalle</w:t>
      </w:r>
      <w:proofErr w:type="spellEnd"/>
      <w:r w:rsidR="0055091E">
        <w:rPr>
          <w:lang w:val="es-ES_tradnl"/>
        </w:rPr>
        <w:t xml:space="preserve"> del Sol SA y/o </w:t>
      </w:r>
      <w:proofErr w:type="spellStart"/>
      <w:r w:rsidR="0055091E">
        <w:rPr>
          <w:lang w:val="es-ES_tradnl"/>
        </w:rPr>
        <w:t>Emmerson</w:t>
      </w:r>
      <w:proofErr w:type="spellEnd"/>
      <w:r w:rsidR="0055091E">
        <w:rPr>
          <w:lang w:val="es-ES_tradnl"/>
        </w:rPr>
        <w:t xml:space="preserve"> </w:t>
      </w:r>
      <w:proofErr w:type="spellStart"/>
      <w:r w:rsidR="0055091E">
        <w:rPr>
          <w:lang w:val="es-ES_tradnl"/>
        </w:rPr>
        <w:t>Shimin</w:t>
      </w:r>
      <w:proofErr w:type="spellEnd"/>
      <w:r w:rsidR="008858F7">
        <w:rPr>
          <w:lang w:val="es-ES_tradnl"/>
        </w:rPr>
        <w:t xml:space="preserve">, imponiéndoles </w:t>
      </w:r>
      <w:r w:rsidR="0055091E" w:rsidRPr="00785A39">
        <w:rPr>
          <w:lang w:val="es-ES_tradnl"/>
        </w:rPr>
        <w:t xml:space="preserve">una multa </w:t>
      </w:r>
      <w:r w:rsidR="008858F7" w:rsidRPr="00703AC1">
        <w:rPr>
          <w:lang w:val="es-ES_tradnl"/>
        </w:rPr>
        <w:t>de</w:t>
      </w:r>
      <w:r w:rsidR="0055091E" w:rsidRPr="00703AC1">
        <w:rPr>
          <w:lang w:val="es-ES_tradnl"/>
        </w:rPr>
        <w:t xml:space="preserve"> 5000 jornales mínimos diarios, así</w:t>
      </w:r>
      <w:r w:rsidR="0055091E">
        <w:rPr>
          <w:lang w:val="es-ES_tradnl"/>
        </w:rPr>
        <w:t xml:space="preserve"> como</w:t>
      </w:r>
      <w:r w:rsidR="0055091E" w:rsidRPr="00785A39">
        <w:rPr>
          <w:lang w:val="es-ES_tradnl"/>
        </w:rPr>
        <w:t xml:space="preserve"> acompañamiento y monitoreo permanente de </w:t>
      </w:r>
      <w:r w:rsidR="0055091E">
        <w:rPr>
          <w:lang w:val="es-ES_tradnl"/>
        </w:rPr>
        <w:t>sus actividades.</w:t>
      </w:r>
    </w:p>
    <w:p w:rsidR="00845DF1" w:rsidRPr="00785A39" w:rsidRDefault="00845DF1" w:rsidP="00785A39">
      <w:pPr>
        <w:pStyle w:val="SingleTxtG"/>
        <w:rPr>
          <w:color w:val="000000"/>
          <w:lang w:val="es-ES_tradnl"/>
        </w:rPr>
      </w:pPr>
      <w:r>
        <w:rPr>
          <w:color w:val="000000"/>
          <w:lang w:val="es-ES_tradnl"/>
        </w:rPr>
        <w:t>4.</w:t>
      </w:r>
      <w:r w:rsidR="00EF30A8">
        <w:rPr>
          <w:color w:val="000000"/>
          <w:lang w:val="es-ES_tradnl"/>
        </w:rPr>
        <w:t>6</w:t>
      </w:r>
      <w:r>
        <w:rPr>
          <w:color w:val="000000"/>
          <w:lang w:val="es-ES_tradnl"/>
        </w:rPr>
        <w:tab/>
      </w:r>
      <w:r w:rsidR="00D00504">
        <w:rPr>
          <w:color w:val="000000"/>
          <w:lang w:val="es-ES_tradnl"/>
        </w:rPr>
        <w:t>E</w:t>
      </w:r>
      <w:r w:rsidR="0075159A">
        <w:rPr>
          <w:color w:val="000000"/>
          <w:lang w:val="es-ES_tradnl"/>
        </w:rPr>
        <w:t>n cuanto a la</w:t>
      </w:r>
      <w:r w:rsidR="00C72DB8">
        <w:rPr>
          <w:color w:val="000000"/>
          <w:lang w:val="es-ES_tradnl"/>
        </w:rPr>
        <w:t xml:space="preserve"> presunta</w:t>
      </w:r>
      <w:r w:rsidR="0075159A">
        <w:rPr>
          <w:color w:val="000000"/>
          <w:lang w:val="es-ES_tradnl"/>
        </w:rPr>
        <w:t xml:space="preserve"> violación </w:t>
      </w:r>
      <w:r w:rsidR="006E2E63">
        <w:rPr>
          <w:color w:val="000000"/>
          <w:lang w:val="es-ES_tradnl"/>
        </w:rPr>
        <w:t>del artículo 2 (3)</w:t>
      </w:r>
      <w:r w:rsidR="00EF30A8">
        <w:rPr>
          <w:color w:val="000000"/>
          <w:lang w:val="es-ES_tradnl"/>
        </w:rPr>
        <w:t xml:space="preserve"> del Pacto</w:t>
      </w:r>
      <w:r w:rsidR="006E2E63">
        <w:rPr>
          <w:color w:val="000000"/>
          <w:lang w:val="es-ES_tradnl"/>
        </w:rPr>
        <w:t>,</w:t>
      </w:r>
      <w:r w:rsidR="00E00C11">
        <w:rPr>
          <w:color w:val="000000"/>
          <w:lang w:val="es-ES_tradnl"/>
        </w:rPr>
        <w:t xml:space="preserve"> </w:t>
      </w:r>
      <w:r w:rsidR="008553DD">
        <w:rPr>
          <w:color w:val="000000"/>
          <w:lang w:val="es-ES_tradnl"/>
        </w:rPr>
        <w:t xml:space="preserve">el Estado parte sostiene </w:t>
      </w:r>
      <w:r w:rsidR="00AB3DC6">
        <w:rPr>
          <w:lang w:val="es-ES_tradnl"/>
        </w:rPr>
        <w:t xml:space="preserve">que </w:t>
      </w:r>
      <w:r w:rsidR="008553DD">
        <w:rPr>
          <w:color w:val="000000"/>
          <w:lang w:val="es-ES_tradnl"/>
        </w:rPr>
        <w:t xml:space="preserve">los hechos fueron </w:t>
      </w:r>
      <w:r w:rsidR="00AB3DC6">
        <w:rPr>
          <w:color w:val="000000"/>
          <w:lang w:val="es-ES_tradnl"/>
        </w:rPr>
        <w:t xml:space="preserve">penalmente </w:t>
      </w:r>
      <w:r w:rsidR="0032698C">
        <w:rPr>
          <w:color w:val="000000"/>
          <w:lang w:val="es-ES_tradnl"/>
        </w:rPr>
        <w:t>investigados, por lo que se</w:t>
      </w:r>
      <w:r w:rsidR="004F6D41">
        <w:rPr>
          <w:color w:val="000000"/>
          <w:lang w:val="es-ES_tradnl"/>
        </w:rPr>
        <w:t xml:space="preserve"> </w:t>
      </w:r>
      <w:r w:rsidR="0032698C">
        <w:rPr>
          <w:color w:val="000000"/>
          <w:lang w:val="es-ES_tradnl"/>
        </w:rPr>
        <w:t>identificó</w:t>
      </w:r>
      <w:r w:rsidR="004F6D41">
        <w:rPr>
          <w:color w:val="000000"/>
          <w:lang w:val="es-ES_tradnl"/>
        </w:rPr>
        <w:t xml:space="preserve"> </w:t>
      </w:r>
      <w:r w:rsidR="00BB4D37">
        <w:rPr>
          <w:color w:val="000000"/>
          <w:lang w:val="es-ES_tradnl"/>
        </w:rPr>
        <w:t>a</w:t>
      </w:r>
      <w:r w:rsidR="00855DB0">
        <w:rPr>
          <w:color w:val="000000"/>
          <w:lang w:val="es-ES_tradnl"/>
        </w:rPr>
        <w:t xml:space="preserve"> </w:t>
      </w:r>
      <w:r w:rsidR="00AB3DC6">
        <w:rPr>
          <w:color w:val="000000"/>
          <w:lang w:val="es-ES_tradnl"/>
        </w:rPr>
        <w:t>ciudadanos que cultivan soja dentro de la Colonia</w:t>
      </w:r>
      <w:r w:rsidR="004F6D41">
        <w:rPr>
          <w:color w:val="000000"/>
          <w:lang w:val="es-ES_tradnl"/>
        </w:rPr>
        <w:t>,</w:t>
      </w:r>
      <w:r w:rsidR="00E3500E">
        <w:rPr>
          <w:color w:val="000000"/>
          <w:lang w:val="es-ES_tradnl"/>
        </w:rPr>
        <w:t xml:space="preserve"> </w:t>
      </w:r>
      <w:r w:rsidR="00BB4D37">
        <w:rPr>
          <w:color w:val="000000"/>
          <w:lang w:val="es-ES_tradnl"/>
        </w:rPr>
        <w:t xml:space="preserve">que serán eventualmente sancionados </w:t>
      </w:r>
      <w:r w:rsidR="008553DD">
        <w:rPr>
          <w:color w:val="000000"/>
          <w:lang w:val="es-ES_tradnl"/>
        </w:rPr>
        <w:t>cuando se</w:t>
      </w:r>
      <w:r w:rsidR="00BB4D37">
        <w:rPr>
          <w:color w:val="000000"/>
          <w:lang w:val="es-ES_tradnl"/>
        </w:rPr>
        <w:t xml:space="preserve"> termine el procedimiento penal</w:t>
      </w:r>
      <w:r w:rsidR="00AB3DC6">
        <w:rPr>
          <w:color w:val="000000"/>
          <w:lang w:val="es-ES_tradnl"/>
        </w:rPr>
        <w:t>.</w:t>
      </w:r>
    </w:p>
    <w:p w:rsidR="004726C0" w:rsidRPr="004726C0" w:rsidRDefault="00005F6D" w:rsidP="00005F6D">
      <w:pPr>
        <w:pStyle w:val="H23G"/>
        <w:rPr>
          <w:lang w:val="es-ES_tradnl"/>
        </w:rPr>
      </w:pPr>
      <w:r>
        <w:rPr>
          <w:lang w:val="es-ES_tradnl"/>
        </w:rPr>
        <w:tab/>
      </w:r>
      <w:r>
        <w:rPr>
          <w:lang w:val="es-ES_tradnl"/>
        </w:rPr>
        <w:tab/>
      </w:r>
      <w:r w:rsidR="004726C0" w:rsidRPr="004726C0">
        <w:rPr>
          <w:lang w:val="es-ES_tradnl"/>
        </w:rPr>
        <w:t>Comentarios de</w:t>
      </w:r>
      <w:r w:rsidR="00400837">
        <w:rPr>
          <w:lang w:val="es-ES_tradnl"/>
        </w:rPr>
        <w:t xml:space="preserve"> </w:t>
      </w:r>
      <w:r w:rsidR="004726C0" w:rsidRPr="004726C0">
        <w:rPr>
          <w:lang w:val="es-ES_tradnl"/>
        </w:rPr>
        <w:t>l</w:t>
      </w:r>
      <w:r w:rsidR="00400837">
        <w:rPr>
          <w:lang w:val="es-ES_tradnl"/>
        </w:rPr>
        <w:t>os</w:t>
      </w:r>
      <w:r w:rsidR="004726C0" w:rsidRPr="004726C0">
        <w:rPr>
          <w:lang w:val="es-ES_tradnl"/>
        </w:rPr>
        <w:t xml:space="preserve"> autor</w:t>
      </w:r>
      <w:r w:rsidR="00400837">
        <w:rPr>
          <w:lang w:val="es-ES_tradnl"/>
        </w:rPr>
        <w:t>es</w:t>
      </w:r>
      <w:r w:rsidR="004726C0" w:rsidRPr="004726C0">
        <w:rPr>
          <w:lang w:val="es-ES_tradnl"/>
        </w:rPr>
        <w:t xml:space="preserve"> sobr</w:t>
      </w:r>
      <w:r w:rsidR="003F611F">
        <w:rPr>
          <w:lang w:val="es-ES_tradnl"/>
        </w:rPr>
        <w:t>e las observaciones del Estado</w:t>
      </w:r>
      <w:r w:rsidR="00EB6B65">
        <w:rPr>
          <w:lang w:val="es-ES_tradnl"/>
        </w:rPr>
        <w:t xml:space="preserve"> parte</w:t>
      </w:r>
    </w:p>
    <w:p w:rsidR="004726C0" w:rsidRPr="00345380" w:rsidRDefault="004726C0" w:rsidP="004726C0">
      <w:pPr>
        <w:pStyle w:val="SingleTxtG"/>
        <w:rPr>
          <w:lang w:val="es-ES_tradnl"/>
        </w:rPr>
      </w:pPr>
      <w:r w:rsidRPr="004726C0">
        <w:rPr>
          <w:color w:val="000000"/>
          <w:lang w:val="es-ES_tradnl"/>
        </w:rPr>
        <w:t>5.1</w:t>
      </w:r>
      <w:r w:rsidRPr="004726C0">
        <w:rPr>
          <w:color w:val="000000"/>
          <w:lang w:val="es-ES_tradnl"/>
        </w:rPr>
        <w:tab/>
      </w:r>
      <w:r w:rsidR="004B385A">
        <w:rPr>
          <w:color w:val="000000"/>
          <w:lang w:val="es-ES_tradnl"/>
        </w:rPr>
        <w:t>E</w:t>
      </w:r>
      <w:r w:rsidR="00500D6E">
        <w:rPr>
          <w:color w:val="000000"/>
          <w:lang w:val="es-ES_tradnl"/>
        </w:rPr>
        <w:t>l</w:t>
      </w:r>
      <w:r w:rsidR="004B385A">
        <w:rPr>
          <w:color w:val="000000"/>
          <w:lang w:val="es-ES_tradnl"/>
        </w:rPr>
        <w:t xml:space="preserve"> </w:t>
      </w:r>
      <w:r w:rsidR="00431899">
        <w:rPr>
          <w:color w:val="000000"/>
          <w:lang w:val="es-ES_tradnl"/>
        </w:rPr>
        <w:t>23 de diciembre de 2018</w:t>
      </w:r>
      <w:r w:rsidR="00400837">
        <w:rPr>
          <w:color w:val="000000"/>
          <w:lang w:val="es-ES_tradnl"/>
        </w:rPr>
        <w:t>, los autores</w:t>
      </w:r>
      <w:r w:rsidR="00AD28DB">
        <w:rPr>
          <w:color w:val="000000"/>
          <w:lang w:val="es-ES_tradnl"/>
        </w:rPr>
        <w:t xml:space="preserve"> </w:t>
      </w:r>
      <w:r w:rsidR="000B61FD">
        <w:rPr>
          <w:lang w:val="es-ES_tradnl"/>
        </w:rPr>
        <w:t>precisa</w:t>
      </w:r>
      <w:r w:rsidR="00E96017">
        <w:rPr>
          <w:lang w:val="es-ES_tradnl"/>
        </w:rPr>
        <w:t>ron</w:t>
      </w:r>
      <w:r w:rsidR="000B61FD">
        <w:rPr>
          <w:lang w:val="es-ES_tradnl"/>
        </w:rPr>
        <w:t xml:space="preserve"> que no </w:t>
      </w:r>
      <w:r w:rsidR="000B61FD" w:rsidRPr="009532BF">
        <w:rPr>
          <w:lang w:val="es-ES_tradnl"/>
        </w:rPr>
        <w:t>están alegando la violación de un derecho a un ambiente sano</w:t>
      </w:r>
      <w:r w:rsidR="000B61FD">
        <w:rPr>
          <w:lang w:val="es-ES_tradnl"/>
        </w:rPr>
        <w:t xml:space="preserve">, sino </w:t>
      </w:r>
      <w:r w:rsidR="00F90E42">
        <w:rPr>
          <w:lang w:val="es-ES_tradnl"/>
        </w:rPr>
        <w:t>directamente</w:t>
      </w:r>
      <w:r w:rsidR="00E32906">
        <w:rPr>
          <w:color w:val="000000"/>
          <w:lang w:val="es-ES_tradnl"/>
        </w:rPr>
        <w:t xml:space="preserve"> </w:t>
      </w:r>
      <w:r w:rsidR="00C107E8">
        <w:rPr>
          <w:color w:val="000000"/>
          <w:lang w:val="es-ES_tradnl"/>
        </w:rPr>
        <w:t xml:space="preserve">la invasión de </w:t>
      </w:r>
      <w:r w:rsidR="00EF30A8">
        <w:rPr>
          <w:color w:val="000000"/>
          <w:lang w:val="es-ES_tradnl"/>
        </w:rPr>
        <w:t xml:space="preserve">su </w:t>
      </w:r>
      <w:r w:rsidR="00E32906">
        <w:rPr>
          <w:color w:val="000000"/>
          <w:lang w:val="es-ES_tradnl"/>
        </w:rPr>
        <w:t>vida privada y</w:t>
      </w:r>
      <w:r w:rsidR="00C107E8">
        <w:rPr>
          <w:color w:val="000000"/>
          <w:lang w:val="es-ES_tradnl"/>
        </w:rPr>
        <w:t xml:space="preserve"> familiar</w:t>
      </w:r>
      <w:r w:rsidR="00CD4D97">
        <w:rPr>
          <w:color w:val="000000"/>
          <w:lang w:val="es-ES_tradnl"/>
        </w:rPr>
        <w:t>,</w:t>
      </w:r>
      <w:r w:rsidR="00B931F5">
        <w:rPr>
          <w:color w:val="000000"/>
          <w:lang w:val="es-ES_tradnl"/>
        </w:rPr>
        <w:t xml:space="preserve"> </w:t>
      </w:r>
      <w:r w:rsidR="00CD4D97">
        <w:rPr>
          <w:color w:val="000000"/>
          <w:lang w:val="es-ES_tradnl"/>
        </w:rPr>
        <w:t>la vulneración de</w:t>
      </w:r>
      <w:r w:rsidR="00EF30A8">
        <w:rPr>
          <w:color w:val="000000"/>
          <w:lang w:val="es-ES_tradnl"/>
        </w:rPr>
        <w:t xml:space="preserve"> su</w:t>
      </w:r>
      <w:r w:rsidR="00CD4D97">
        <w:rPr>
          <w:color w:val="000000"/>
          <w:lang w:val="es-ES_tradnl"/>
        </w:rPr>
        <w:t xml:space="preserve"> derecho a la</w:t>
      </w:r>
      <w:r w:rsidR="00C107E8">
        <w:rPr>
          <w:color w:val="000000"/>
          <w:lang w:val="es-ES_tradnl"/>
        </w:rPr>
        <w:t xml:space="preserve"> </w:t>
      </w:r>
      <w:r w:rsidR="00CD4D97">
        <w:rPr>
          <w:color w:val="000000"/>
          <w:lang w:val="es-ES_tradnl"/>
        </w:rPr>
        <w:t>vida y a la integridad física</w:t>
      </w:r>
      <w:r w:rsidR="00C107E8">
        <w:rPr>
          <w:color w:val="000000"/>
          <w:lang w:val="es-ES_tradnl"/>
        </w:rPr>
        <w:t xml:space="preserve">, </w:t>
      </w:r>
      <w:r w:rsidR="00B931F5">
        <w:rPr>
          <w:color w:val="000000"/>
          <w:lang w:val="es-ES_tradnl"/>
        </w:rPr>
        <w:t>y la falta de recurso efecti</w:t>
      </w:r>
      <w:r w:rsidR="00C51A39">
        <w:rPr>
          <w:color w:val="000000"/>
          <w:lang w:val="es-ES_tradnl"/>
        </w:rPr>
        <w:t>vo</w:t>
      </w:r>
      <w:r w:rsidR="00D23386">
        <w:rPr>
          <w:color w:val="000000"/>
          <w:lang w:val="es-ES_tradnl"/>
        </w:rPr>
        <w:t xml:space="preserve"> para remediar a la situación</w:t>
      </w:r>
      <w:r w:rsidR="00033A5B" w:rsidRPr="00345380">
        <w:rPr>
          <w:lang w:val="es-ES_tradnl"/>
        </w:rPr>
        <w:t>.</w:t>
      </w:r>
      <w:r w:rsidR="009141B2">
        <w:rPr>
          <w:rStyle w:val="FootnoteReference"/>
          <w:lang w:val="es-ES_tradnl"/>
        </w:rPr>
        <w:footnoteReference w:id="28"/>
      </w:r>
      <w:r w:rsidR="000E6D5B">
        <w:rPr>
          <w:lang w:val="es-ES_tradnl"/>
        </w:rPr>
        <w:t xml:space="preserve"> </w:t>
      </w:r>
    </w:p>
    <w:p w:rsidR="00166134" w:rsidRDefault="00655868" w:rsidP="00DD4F65">
      <w:pPr>
        <w:pStyle w:val="SingleTxtG"/>
        <w:rPr>
          <w:lang w:val="es-ES_tradnl"/>
        </w:rPr>
      </w:pPr>
      <w:r>
        <w:rPr>
          <w:lang w:val="es-ES_tradnl"/>
        </w:rPr>
        <w:t>5.2</w:t>
      </w:r>
      <w:r>
        <w:rPr>
          <w:lang w:val="es-ES_tradnl"/>
        </w:rPr>
        <w:tab/>
      </w:r>
      <w:r w:rsidR="00345380" w:rsidRPr="00345380">
        <w:rPr>
          <w:lang w:val="es-ES_tradnl"/>
        </w:rPr>
        <w:t>En cuanto</w:t>
      </w:r>
      <w:r w:rsidR="00345380">
        <w:rPr>
          <w:lang w:val="es-ES_tradnl"/>
        </w:rPr>
        <w:t xml:space="preserve"> a la supuesta falta de </w:t>
      </w:r>
      <w:r w:rsidR="002C07DE">
        <w:rPr>
          <w:lang w:val="es-ES_tradnl"/>
        </w:rPr>
        <w:t>relación entre los hechos y el Pacto</w:t>
      </w:r>
      <w:r w:rsidR="00345380">
        <w:rPr>
          <w:lang w:val="es-ES_tradnl"/>
        </w:rPr>
        <w:t xml:space="preserve">, </w:t>
      </w:r>
      <w:r>
        <w:rPr>
          <w:lang w:val="es-ES_tradnl"/>
        </w:rPr>
        <w:t xml:space="preserve">los autores sostienen </w:t>
      </w:r>
      <w:r w:rsidR="00940006">
        <w:rPr>
          <w:lang w:val="es-ES_tradnl"/>
        </w:rPr>
        <w:t xml:space="preserve">que </w:t>
      </w:r>
      <w:r w:rsidR="006312D3">
        <w:rPr>
          <w:lang w:val="es-ES_tradnl"/>
        </w:rPr>
        <w:t xml:space="preserve">el Estado </w:t>
      </w:r>
      <w:r w:rsidR="001C5B38">
        <w:rPr>
          <w:lang w:val="es-ES_tradnl"/>
        </w:rPr>
        <w:t xml:space="preserve">parte </w:t>
      </w:r>
      <w:r w:rsidR="00EF30A8">
        <w:rPr>
          <w:lang w:val="es-ES_tradnl"/>
        </w:rPr>
        <w:t xml:space="preserve">realiza </w:t>
      </w:r>
      <w:r>
        <w:rPr>
          <w:lang w:val="es-ES_tradnl"/>
        </w:rPr>
        <w:t xml:space="preserve">una interpretación </w:t>
      </w:r>
      <w:r w:rsidR="00FF6A0B">
        <w:rPr>
          <w:lang w:val="es-ES_tradnl"/>
        </w:rPr>
        <w:t xml:space="preserve">erróneamente </w:t>
      </w:r>
      <w:r>
        <w:rPr>
          <w:lang w:val="es-ES_tradnl"/>
        </w:rPr>
        <w:t xml:space="preserve">restrictiva de </w:t>
      </w:r>
      <w:r w:rsidR="00FF6A0B">
        <w:rPr>
          <w:lang w:val="es-ES_tradnl"/>
        </w:rPr>
        <w:t>sus</w:t>
      </w:r>
      <w:r>
        <w:rPr>
          <w:lang w:val="es-ES_tradnl"/>
        </w:rPr>
        <w:t xml:space="preserve"> obligaciones en relación al derecho a la vida,</w:t>
      </w:r>
      <w:r w:rsidR="001C5B38">
        <w:rPr>
          <w:lang w:val="es-ES_tradnl"/>
        </w:rPr>
        <w:t xml:space="preserve"> que</w:t>
      </w:r>
      <w:r>
        <w:rPr>
          <w:lang w:val="es-ES_tradnl"/>
        </w:rPr>
        <w:t xml:space="preserve"> </w:t>
      </w:r>
      <w:r w:rsidR="000B278C">
        <w:rPr>
          <w:lang w:val="es-ES_tradnl"/>
        </w:rPr>
        <w:t>implica</w:t>
      </w:r>
      <w:r w:rsidR="00FF6A0B">
        <w:rPr>
          <w:lang w:val="es-ES_tradnl"/>
        </w:rPr>
        <w:t>, además de la obligación negativa</w:t>
      </w:r>
      <w:r w:rsidR="005C68C2">
        <w:rPr>
          <w:lang w:val="es-ES_tradnl"/>
        </w:rPr>
        <w:t xml:space="preserve"> </w:t>
      </w:r>
      <w:r w:rsidR="00FF6A0B">
        <w:rPr>
          <w:lang w:val="es-ES_tradnl"/>
        </w:rPr>
        <w:t xml:space="preserve">de no privar por acción directa </w:t>
      </w:r>
      <w:r w:rsidR="004D791A">
        <w:rPr>
          <w:lang w:val="es-ES_tradnl"/>
        </w:rPr>
        <w:t xml:space="preserve">a una persona </w:t>
      </w:r>
      <w:r w:rsidR="00FF6A0B">
        <w:rPr>
          <w:lang w:val="es-ES_tradnl"/>
        </w:rPr>
        <w:t xml:space="preserve">de </w:t>
      </w:r>
      <w:r w:rsidR="004D791A">
        <w:rPr>
          <w:lang w:val="es-ES_tradnl"/>
        </w:rPr>
        <w:t>su</w:t>
      </w:r>
      <w:r w:rsidR="00FF6A0B">
        <w:rPr>
          <w:lang w:val="es-ES_tradnl"/>
        </w:rPr>
        <w:t xml:space="preserve"> vida, la</w:t>
      </w:r>
      <w:r w:rsidR="002F20F8">
        <w:rPr>
          <w:lang w:val="es-ES_tradnl"/>
        </w:rPr>
        <w:t xml:space="preserve"> </w:t>
      </w:r>
      <w:r w:rsidR="00FF6A0B" w:rsidRPr="00FF6A0B">
        <w:rPr>
          <w:lang w:val="es-ES_tradnl"/>
        </w:rPr>
        <w:t xml:space="preserve">obligación </w:t>
      </w:r>
      <w:r w:rsidR="005C68C2">
        <w:rPr>
          <w:lang w:val="es-ES_tradnl"/>
        </w:rPr>
        <w:t xml:space="preserve">positiva </w:t>
      </w:r>
      <w:r w:rsidR="00FF6A0B">
        <w:rPr>
          <w:lang w:val="es-ES_tradnl"/>
        </w:rPr>
        <w:t>de</w:t>
      </w:r>
      <w:r w:rsidR="005C68C2">
        <w:rPr>
          <w:lang w:val="es-ES_tradnl"/>
        </w:rPr>
        <w:t xml:space="preserve"> </w:t>
      </w:r>
      <w:r w:rsidR="005C68C2">
        <w:rPr>
          <w:lang w:val="es-ES_tradnl"/>
        </w:rPr>
        <w:lastRenderedPageBreak/>
        <w:t>garantizar condiciones de vida digna</w:t>
      </w:r>
      <w:r w:rsidR="00D0227C">
        <w:rPr>
          <w:lang w:val="es-ES_tradnl"/>
        </w:rPr>
        <w:t>.</w:t>
      </w:r>
      <w:r w:rsidR="00F87040">
        <w:rPr>
          <w:lang w:val="es-ES_tradnl"/>
        </w:rPr>
        <w:t xml:space="preserve"> </w:t>
      </w:r>
      <w:r w:rsidR="008440D3">
        <w:rPr>
          <w:lang w:val="es-ES_tradnl"/>
        </w:rPr>
        <w:t>Lo anterior</w:t>
      </w:r>
      <w:r w:rsidR="00694B45">
        <w:rPr>
          <w:lang w:val="es-ES_tradnl"/>
        </w:rPr>
        <w:t xml:space="preserve"> implica</w:t>
      </w:r>
      <w:r w:rsidR="001A79AF">
        <w:rPr>
          <w:lang w:val="es-ES_tradnl"/>
        </w:rPr>
        <w:t>,</w:t>
      </w:r>
      <w:r w:rsidR="001C5B38" w:rsidRPr="001C5B38">
        <w:rPr>
          <w:lang w:val="es-ES_tradnl"/>
        </w:rPr>
        <w:t xml:space="preserve"> en realidad</w:t>
      </w:r>
      <w:r w:rsidR="001A79AF">
        <w:rPr>
          <w:lang w:val="es-ES_tradnl"/>
        </w:rPr>
        <w:t>,</w:t>
      </w:r>
      <w:r w:rsidR="001C5B38" w:rsidRPr="001C5B38">
        <w:rPr>
          <w:lang w:val="es-ES_tradnl"/>
        </w:rPr>
        <w:t xml:space="preserve"> un análisis del fondo de la comunicación</w:t>
      </w:r>
      <w:r w:rsidR="00694B45">
        <w:rPr>
          <w:lang w:val="es-ES_tradnl"/>
        </w:rPr>
        <w:t>.</w:t>
      </w:r>
    </w:p>
    <w:p w:rsidR="005434EA" w:rsidRDefault="00025B8E" w:rsidP="007D73F5">
      <w:pPr>
        <w:pStyle w:val="SingleTxtG"/>
        <w:rPr>
          <w:lang w:val="es-ES_tradnl"/>
        </w:rPr>
      </w:pPr>
      <w:r>
        <w:rPr>
          <w:lang w:val="es-ES_tradnl"/>
        </w:rPr>
        <w:t>5.3</w:t>
      </w:r>
      <w:r w:rsidR="00EF30A8">
        <w:rPr>
          <w:lang w:val="es-ES_tradnl"/>
        </w:rPr>
        <w:tab/>
      </w:r>
      <w:r>
        <w:rPr>
          <w:lang w:val="es-ES_tradnl"/>
        </w:rPr>
        <w:t xml:space="preserve">En cuanto a la supuesta </w:t>
      </w:r>
      <w:r w:rsidR="00B70772">
        <w:rPr>
          <w:lang w:val="es-ES_tradnl"/>
        </w:rPr>
        <w:t xml:space="preserve">reapertura </w:t>
      </w:r>
      <w:r w:rsidR="009C4EDA">
        <w:rPr>
          <w:lang w:val="es-ES_tradnl"/>
        </w:rPr>
        <w:t xml:space="preserve">en 2017 </w:t>
      </w:r>
      <w:r w:rsidR="00B70772">
        <w:rPr>
          <w:lang w:val="es-ES_tradnl"/>
        </w:rPr>
        <w:t>d</w:t>
      </w:r>
      <w:r w:rsidR="00EA575A">
        <w:rPr>
          <w:lang w:val="es-ES_tradnl"/>
        </w:rPr>
        <w:t xml:space="preserve">el proceso </w:t>
      </w:r>
      <w:r w:rsidR="009B368A">
        <w:rPr>
          <w:lang w:val="es-ES_tradnl"/>
        </w:rPr>
        <w:t>penal</w:t>
      </w:r>
      <w:r w:rsidR="00E35D65">
        <w:rPr>
          <w:lang w:val="es-ES_tradnl"/>
        </w:rPr>
        <w:t>, los autores</w:t>
      </w:r>
      <w:r w:rsidR="009C4EDA">
        <w:rPr>
          <w:lang w:val="es-ES_tradnl"/>
        </w:rPr>
        <w:t xml:space="preserve"> </w:t>
      </w:r>
      <w:r w:rsidR="00E35D65">
        <w:rPr>
          <w:lang w:val="es-ES_tradnl"/>
        </w:rPr>
        <w:t xml:space="preserve">indican </w:t>
      </w:r>
      <w:r w:rsidR="009A505D">
        <w:rPr>
          <w:lang w:val="es-ES_tradnl"/>
        </w:rPr>
        <w:t>haber</w:t>
      </w:r>
      <w:r w:rsidR="00EF30A8">
        <w:rPr>
          <w:lang w:val="es-ES_tradnl"/>
        </w:rPr>
        <w:t xml:space="preserve"> tenido conocimiento de este hecho </w:t>
      </w:r>
      <w:r w:rsidR="009A505D">
        <w:rPr>
          <w:lang w:val="es-ES_tradnl"/>
        </w:rPr>
        <w:t xml:space="preserve">mediante </w:t>
      </w:r>
      <w:r w:rsidR="0016583B">
        <w:rPr>
          <w:lang w:val="es-ES_tradnl"/>
        </w:rPr>
        <w:t>el escrito de</w:t>
      </w:r>
      <w:r w:rsidR="00E35D65" w:rsidRPr="00FA6340">
        <w:rPr>
          <w:lang w:val="es-ES_tradnl"/>
        </w:rPr>
        <w:t xml:space="preserve"> observaciones del Estado</w:t>
      </w:r>
      <w:r w:rsidR="009C4EDA">
        <w:rPr>
          <w:lang w:val="es-ES_tradnl"/>
        </w:rPr>
        <w:t>,</w:t>
      </w:r>
      <w:r w:rsidR="00E35D65">
        <w:rPr>
          <w:lang w:val="es-ES_tradnl"/>
        </w:rPr>
        <w:t xml:space="preserve"> </w:t>
      </w:r>
      <w:r w:rsidR="00826054">
        <w:rPr>
          <w:lang w:val="es-ES_tradnl"/>
        </w:rPr>
        <w:t xml:space="preserve">y </w:t>
      </w:r>
      <w:r w:rsidR="00E35D65">
        <w:rPr>
          <w:lang w:val="es-ES_tradnl"/>
        </w:rPr>
        <w:t xml:space="preserve">que </w:t>
      </w:r>
      <w:r w:rsidR="009C4EDA">
        <w:rPr>
          <w:lang w:val="es-ES_tradnl"/>
        </w:rPr>
        <w:t>se trata de</w:t>
      </w:r>
      <w:r w:rsidR="00EA575A">
        <w:rPr>
          <w:lang w:val="es-ES_tradnl"/>
        </w:rPr>
        <w:t xml:space="preserve"> una </w:t>
      </w:r>
      <w:r w:rsidR="00EF30A8">
        <w:rPr>
          <w:lang w:val="es-ES_tradnl"/>
        </w:rPr>
        <w:t>“</w:t>
      </w:r>
      <w:r w:rsidR="00EA575A">
        <w:rPr>
          <w:lang w:val="es-ES_tradnl"/>
        </w:rPr>
        <w:t>medida desesperada para evitar un dictamen de responsabilidad</w:t>
      </w:r>
      <w:r w:rsidR="009C4EDA">
        <w:rPr>
          <w:lang w:val="es-ES_tradnl"/>
        </w:rPr>
        <w:t>,</w:t>
      </w:r>
      <w:r w:rsidR="008F204F">
        <w:rPr>
          <w:lang w:val="es-ES_tradnl"/>
        </w:rPr>
        <w:t xml:space="preserve"> </w:t>
      </w:r>
      <w:r w:rsidR="00EA575A">
        <w:rPr>
          <w:lang w:val="es-ES_tradnl"/>
        </w:rPr>
        <w:t>que carece de toda seriedad</w:t>
      </w:r>
      <w:r w:rsidR="00EF30A8">
        <w:rPr>
          <w:lang w:val="es-ES_tradnl"/>
        </w:rPr>
        <w:t>”,</w:t>
      </w:r>
      <w:r w:rsidR="00EA575A">
        <w:rPr>
          <w:lang w:val="es-ES_tradnl"/>
        </w:rPr>
        <w:t xml:space="preserve"> </w:t>
      </w:r>
      <w:r w:rsidR="00D22826">
        <w:rPr>
          <w:lang w:val="es-ES_tradnl"/>
        </w:rPr>
        <w:t>ya que</w:t>
      </w:r>
      <w:r w:rsidR="00D22826" w:rsidRPr="00D22826">
        <w:rPr>
          <w:lang w:val="es-ES_tradnl"/>
        </w:rPr>
        <w:t xml:space="preserve"> </w:t>
      </w:r>
      <w:r w:rsidR="00D22826" w:rsidRPr="00FA6340">
        <w:rPr>
          <w:lang w:val="es-ES_tradnl"/>
        </w:rPr>
        <w:t xml:space="preserve">la </w:t>
      </w:r>
      <w:r w:rsidR="00D22826">
        <w:rPr>
          <w:lang w:val="es-ES_tradnl"/>
        </w:rPr>
        <w:t>a</w:t>
      </w:r>
      <w:r w:rsidR="00D22826" w:rsidRPr="00FA6340">
        <w:rPr>
          <w:lang w:val="es-ES_tradnl"/>
        </w:rPr>
        <w:t xml:space="preserve">udiencia </w:t>
      </w:r>
      <w:r w:rsidR="00D22826">
        <w:rPr>
          <w:lang w:val="es-ES_tradnl"/>
        </w:rPr>
        <w:t>p</w:t>
      </w:r>
      <w:r w:rsidR="00D22826" w:rsidRPr="00FA6340">
        <w:rPr>
          <w:lang w:val="es-ES_tradnl"/>
        </w:rPr>
        <w:t>reliminar a realizarse en el mes de se</w:t>
      </w:r>
      <w:r w:rsidR="0016583B">
        <w:rPr>
          <w:lang w:val="es-ES_tradnl"/>
        </w:rPr>
        <w:t>p</w:t>
      </w:r>
      <w:r w:rsidR="00D22826" w:rsidRPr="00FA6340">
        <w:rPr>
          <w:lang w:val="es-ES_tradnl"/>
        </w:rPr>
        <w:t>tiembre del 2018 no se realizó</w:t>
      </w:r>
      <w:r w:rsidR="00D22826">
        <w:rPr>
          <w:lang w:val="es-ES_tradnl"/>
        </w:rPr>
        <w:t xml:space="preserve">. </w:t>
      </w:r>
      <w:r w:rsidR="00826054">
        <w:rPr>
          <w:lang w:val="es-ES_tradnl"/>
        </w:rPr>
        <w:t>Así,</w:t>
      </w:r>
      <w:r w:rsidR="00D22826">
        <w:rPr>
          <w:lang w:val="es-ES_tradnl"/>
        </w:rPr>
        <w:t xml:space="preserve"> a más de siete años de los hechos,</w:t>
      </w:r>
      <w:r w:rsidR="007D73F5">
        <w:rPr>
          <w:lang w:val="es-ES_tradnl"/>
        </w:rPr>
        <w:t xml:space="preserve"> </w:t>
      </w:r>
      <w:r w:rsidR="00D22826">
        <w:rPr>
          <w:lang w:val="es-ES_tradnl"/>
        </w:rPr>
        <w:t>sigue sin haber</w:t>
      </w:r>
      <w:r w:rsidR="00664539">
        <w:rPr>
          <w:lang w:val="es-ES_tradnl"/>
        </w:rPr>
        <w:t>se</w:t>
      </w:r>
      <w:r w:rsidR="00D22826">
        <w:rPr>
          <w:lang w:val="es-ES_tradnl"/>
        </w:rPr>
        <w:t xml:space="preserve"> obtenido justicia</w:t>
      </w:r>
      <w:r w:rsidR="00684A5D">
        <w:rPr>
          <w:lang w:val="es-ES_tradnl"/>
        </w:rPr>
        <w:t>.</w:t>
      </w:r>
    </w:p>
    <w:p w:rsidR="001330AA" w:rsidRDefault="005434EA" w:rsidP="00313B87">
      <w:pPr>
        <w:pStyle w:val="SingleTxtG"/>
        <w:rPr>
          <w:lang w:val="es-ES_tradnl"/>
        </w:rPr>
      </w:pPr>
      <w:r>
        <w:rPr>
          <w:lang w:val="es-ES_tradnl"/>
        </w:rPr>
        <w:t>5.4</w:t>
      </w:r>
      <w:r>
        <w:rPr>
          <w:lang w:val="es-ES_tradnl"/>
        </w:rPr>
        <w:tab/>
      </w:r>
      <w:r w:rsidR="00DE08BD">
        <w:rPr>
          <w:lang w:val="es-ES_tradnl"/>
        </w:rPr>
        <w:t>Respecto de</w:t>
      </w:r>
      <w:r w:rsidR="00E21C6D">
        <w:rPr>
          <w:lang w:val="es-ES_tradnl"/>
        </w:rPr>
        <w:t xml:space="preserve"> las acciones civiles posesorias, </w:t>
      </w:r>
      <w:r w:rsidR="00EF30A8">
        <w:rPr>
          <w:lang w:val="es-ES_tradnl"/>
        </w:rPr>
        <w:t>los autores</w:t>
      </w:r>
      <w:r w:rsidR="000B7433">
        <w:rPr>
          <w:lang w:val="es-ES_tradnl"/>
        </w:rPr>
        <w:t xml:space="preserve"> sostiene</w:t>
      </w:r>
      <w:r w:rsidR="00EF30A8">
        <w:rPr>
          <w:lang w:val="es-ES_tradnl"/>
        </w:rPr>
        <w:t>n</w:t>
      </w:r>
      <w:r w:rsidR="00D03BC7">
        <w:rPr>
          <w:lang w:val="es-ES_tradnl"/>
        </w:rPr>
        <w:t xml:space="preserve"> que </w:t>
      </w:r>
      <w:r w:rsidR="00D03BC7" w:rsidRPr="00D03BC7">
        <w:rPr>
          <w:lang w:val="es-ES_tradnl"/>
        </w:rPr>
        <w:t>no constituye</w:t>
      </w:r>
      <w:r w:rsidR="005901BE">
        <w:rPr>
          <w:lang w:val="es-ES_tradnl"/>
        </w:rPr>
        <w:t>n</w:t>
      </w:r>
      <w:r w:rsidR="00D03BC7" w:rsidRPr="00D03BC7">
        <w:rPr>
          <w:lang w:val="es-ES_tradnl"/>
        </w:rPr>
        <w:t xml:space="preserve"> una vía efectiva para la protección de </w:t>
      </w:r>
      <w:r w:rsidR="001C7131">
        <w:rPr>
          <w:lang w:val="es-ES_tradnl"/>
        </w:rPr>
        <w:t>los</w:t>
      </w:r>
      <w:r w:rsidR="00D03BC7" w:rsidRPr="00D03BC7">
        <w:rPr>
          <w:lang w:val="es-ES_tradnl"/>
        </w:rPr>
        <w:t xml:space="preserve"> derec</w:t>
      </w:r>
      <w:r w:rsidR="003B2C2F">
        <w:rPr>
          <w:lang w:val="es-ES_tradnl"/>
        </w:rPr>
        <w:t>hos a la vida y a la integridad</w:t>
      </w:r>
      <w:r w:rsidR="00D03BC7" w:rsidRPr="00D03BC7">
        <w:rPr>
          <w:lang w:val="es-ES_tradnl"/>
        </w:rPr>
        <w:t xml:space="preserve"> vulnerados por la ineficiente actuación de las autoridades</w:t>
      </w:r>
      <w:r w:rsidR="00D03BC7">
        <w:rPr>
          <w:lang w:val="es-ES_tradnl"/>
        </w:rPr>
        <w:t xml:space="preserve">. </w:t>
      </w:r>
      <w:r w:rsidR="00086693">
        <w:rPr>
          <w:lang w:val="es-ES_tradnl"/>
        </w:rPr>
        <w:t xml:space="preserve">Los autores </w:t>
      </w:r>
      <w:r w:rsidR="0086591B">
        <w:rPr>
          <w:lang w:val="es-ES_tradnl"/>
        </w:rPr>
        <w:t>añaden</w:t>
      </w:r>
      <w:r w:rsidR="00086693">
        <w:rPr>
          <w:lang w:val="es-ES_tradnl"/>
        </w:rPr>
        <w:t xml:space="preserve"> que</w:t>
      </w:r>
      <w:r w:rsidR="00545E95">
        <w:rPr>
          <w:lang w:val="es-ES_tradnl"/>
        </w:rPr>
        <w:t>,</w:t>
      </w:r>
      <w:r w:rsidR="00086693">
        <w:rPr>
          <w:lang w:val="es-ES_tradnl"/>
        </w:rPr>
        <w:t xml:space="preserve"> </w:t>
      </w:r>
      <w:r w:rsidR="00B104F5" w:rsidRPr="009C0C4E">
        <w:rPr>
          <w:lang w:val="es-ES_tradnl"/>
        </w:rPr>
        <w:t>conforme a las Reglas de Brasilia sobre Acceso a la Justicia de las Personas</w:t>
      </w:r>
      <w:r w:rsidR="003B2C2F">
        <w:rPr>
          <w:lang w:val="es-ES_tradnl"/>
        </w:rPr>
        <w:t xml:space="preserve"> en Condición de Vulnerabilidad</w:t>
      </w:r>
      <w:r w:rsidR="00B104F5">
        <w:rPr>
          <w:lang w:val="es-ES_tradnl"/>
        </w:rPr>
        <w:t xml:space="preserve">, </w:t>
      </w:r>
      <w:r w:rsidR="009023F7">
        <w:rPr>
          <w:lang w:val="es-ES_tradnl"/>
        </w:rPr>
        <w:t xml:space="preserve">hay </w:t>
      </w:r>
      <w:r w:rsidR="00B104F5">
        <w:rPr>
          <w:lang w:val="es-ES_tradnl"/>
        </w:rPr>
        <w:t xml:space="preserve">que tener presente la </w:t>
      </w:r>
      <w:r w:rsidR="00185676">
        <w:rPr>
          <w:lang w:val="es-ES_tradnl"/>
        </w:rPr>
        <w:t xml:space="preserve">vulnerable </w:t>
      </w:r>
      <w:r w:rsidR="00B104F5" w:rsidRPr="00096620">
        <w:rPr>
          <w:lang w:val="es-ES_tradnl"/>
        </w:rPr>
        <w:t xml:space="preserve">situación </w:t>
      </w:r>
      <w:r w:rsidR="00B104F5">
        <w:rPr>
          <w:lang w:val="es-ES_tradnl"/>
        </w:rPr>
        <w:t>de los campesino</w:t>
      </w:r>
      <w:r w:rsidR="00B104F5" w:rsidRPr="001D4759">
        <w:rPr>
          <w:lang w:val="es-ES_tradnl"/>
        </w:rPr>
        <w:t>s</w:t>
      </w:r>
      <w:r w:rsidR="00B104F5">
        <w:rPr>
          <w:lang w:val="es-ES_tradnl"/>
        </w:rPr>
        <w:t xml:space="preserve"> de la Colonia</w:t>
      </w:r>
      <w:r w:rsidR="00B104F5" w:rsidRPr="00B104F5">
        <w:rPr>
          <w:lang w:val="es-ES_tradnl"/>
        </w:rPr>
        <w:t xml:space="preserve"> </w:t>
      </w:r>
      <w:r w:rsidR="00B104F5" w:rsidRPr="00B04B5A">
        <w:rPr>
          <w:lang w:val="es-ES_tradnl"/>
        </w:rPr>
        <w:t>rural</w:t>
      </w:r>
      <w:r w:rsidR="009023F7">
        <w:rPr>
          <w:lang w:val="es-ES_tradnl"/>
        </w:rPr>
        <w:t>,</w:t>
      </w:r>
      <w:r w:rsidR="00B104F5" w:rsidRPr="00B04B5A">
        <w:rPr>
          <w:lang w:val="es-ES_tradnl"/>
        </w:rPr>
        <w:t xml:space="preserve"> </w:t>
      </w:r>
      <w:r w:rsidR="00B104F5">
        <w:rPr>
          <w:lang w:val="es-ES_tradnl"/>
        </w:rPr>
        <w:t>aislada</w:t>
      </w:r>
      <w:r w:rsidR="009023F7">
        <w:rPr>
          <w:lang w:val="es-ES_tradnl"/>
        </w:rPr>
        <w:t>,</w:t>
      </w:r>
      <w:r w:rsidR="00F456B1">
        <w:rPr>
          <w:rStyle w:val="FootnoteReference"/>
          <w:lang w:val="es-ES_tradnl"/>
        </w:rPr>
        <w:footnoteReference w:id="29"/>
      </w:r>
      <w:r w:rsidR="00B104F5">
        <w:rPr>
          <w:lang w:val="es-ES_tradnl"/>
        </w:rPr>
        <w:t xml:space="preserve"> </w:t>
      </w:r>
      <w:r w:rsidR="00995972">
        <w:rPr>
          <w:lang w:val="es-ES_tradnl"/>
        </w:rPr>
        <w:t>que les impide</w:t>
      </w:r>
      <w:r w:rsidR="00B104F5">
        <w:rPr>
          <w:lang w:val="es-ES_tradnl"/>
        </w:rPr>
        <w:t xml:space="preserve"> </w:t>
      </w:r>
      <w:r w:rsidR="00B104F5" w:rsidRPr="001D4759">
        <w:rPr>
          <w:lang w:val="es-ES_tradnl"/>
        </w:rPr>
        <w:t>contratar y solventar el pago de un abogado</w:t>
      </w:r>
      <w:r w:rsidR="00B104F5">
        <w:rPr>
          <w:lang w:val="es-ES"/>
        </w:rPr>
        <w:t xml:space="preserve">, con el </w:t>
      </w:r>
      <w:r w:rsidR="00B104F5" w:rsidRPr="001D4759">
        <w:rPr>
          <w:lang w:val="es-ES_tradnl"/>
        </w:rPr>
        <w:t>riesgo de cargar con costas millonarias en caso de pérdida del litigio</w:t>
      </w:r>
      <w:r w:rsidR="009C36AF">
        <w:rPr>
          <w:lang w:val="es-ES_tradnl"/>
        </w:rPr>
        <w:t xml:space="preserve"> civil</w:t>
      </w:r>
      <w:r w:rsidR="00B104F5">
        <w:rPr>
          <w:lang w:val="es-ES_tradnl"/>
        </w:rPr>
        <w:t>.</w:t>
      </w:r>
      <w:r w:rsidR="00313B87">
        <w:rPr>
          <w:lang w:val="es-ES_tradnl"/>
        </w:rPr>
        <w:t xml:space="preserve"> </w:t>
      </w:r>
      <w:r w:rsidR="003C6DB5">
        <w:rPr>
          <w:lang w:val="es-ES_tradnl"/>
        </w:rPr>
        <w:t>Finalmente, sostienen que,</w:t>
      </w:r>
      <w:r w:rsidR="00313B87">
        <w:rPr>
          <w:lang w:val="es-ES_tradnl"/>
        </w:rPr>
        <w:t xml:space="preserve"> </w:t>
      </w:r>
      <w:r w:rsidR="00545E95" w:rsidRPr="0068424B">
        <w:rPr>
          <w:lang w:val="es-ES_tradnl"/>
        </w:rPr>
        <w:t xml:space="preserve">pese a </w:t>
      </w:r>
      <w:r w:rsidR="00545E95">
        <w:rPr>
          <w:lang w:val="es-ES_tradnl"/>
        </w:rPr>
        <w:t>contar</w:t>
      </w:r>
      <w:r w:rsidR="00545E95" w:rsidRPr="0068424B">
        <w:rPr>
          <w:lang w:val="es-ES_tradnl"/>
        </w:rPr>
        <w:t xml:space="preserve"> con leyes </w:t>
      </w:r>
      <w:r w:rsidR="00545E95">
        <w:rPr>
          <w:lang w:val="es-ES_tradnl"/>
        </w:rPr>
        <w:t xml:space="preserve">ambientales, </w:t>
      </w:r>
      <w:r w:rsidR="00086693">
        <w:rPr>
          <w:lang w:val="es-ES_tradnl"/>
        </w:rPr>
        <w:t>e</w:t>
      </w:r>
      <w:r w:rsidR="0068424B" w:rsidRPr="0068424B">
        <w:rPr>
          <w:lang w:val="es-ES_tradnl"/>
        </w:rPr>
        <w:t xml:space="preserve">l </w:t>
      </w:r>
      <w:r w:rsidR="0086591B">
        <w:rPr>
          <w:lang w:val="es-ES_tradnl"/>
        </w:rPr>
        <w:t>Estado parte</w:t>
      </w:r>
      <w:r w:rsidR="0068424B" w:rsidRPr="0068424B">
        <w:rPr>
          <w:lang w:val="es-ES_tradnl"/>
        </w:rPr>
        <w:t xml:space="preserve"> carece de </w:t>
      </w:r>
      <w:r w:rsidR="006C63F1">
        <w:rPr>
          <w:lang w:val="es-ES_tradnl"/>
        </w:rPr>
        <w:t>jurisdicción agroambiental</w:t>
      </w:r>
      <w:r w:rsidR="000F4E64">
        <w:rPr>
          <w:lang w:val="es-ES_tradnl"/>
        </w:rPr>
        <w:t xml:space="preserve"> que hubiera constituido una vía adecuada</w:t>
      </w:r>
      <w:r w:rsidR="005C3973">
        <w:rPr>
          <w:lang w:val="es-ES_tradnl"/>
        </w:rPr>
        <w:t xml:space="preserve"> </w:t>
      </w:r>
      <w:r w:rsidR="00B104F5">
        <w:rPr>
          <w:lang w:val="es-ES_tradnl"/>
        </w:rPr>
        <w:t>ya que,</w:t>
      </w:r>
      <w:r w:rsidR="005C3973">
        <w:rPr>
          <w:lang w:val="es-ES_tradnl"/>
        </w:rPr>
        <w:t xml:space="preserve"> en el fuero civil</w:t>
      </w:r>
      <w:r w:rsidR="001D4759" w:rsidRPr="001D4759">
        <w:rPr>
          <w:lang w:val="es-ES_tradnl"/>
        </w:rPr>
        <w:t xml:space="preserve"> </w:t>
      </w:r>
      <w:r w:rsidR="005C3973">
        <w:rPr>
          <w:lang w:val="es-ES_tradnl"/>
        </w:rPr>
        <w:t>diseñado</w:t>
      </w:r>
      <w:r w:rsidR="001D4759" w:rsidRPr="001D4759">
        <w:rPr>
          <w:lang w:val="es-ES_tradnl"/>
        </w:rPr>
        <w:t xml:space="preserve"> para la defensa de la propiedad privada </w:t>
      </w:r>
      <w:r w:rsidR="00696737">
        <w:rPr>
          <w:lang w:val="es-ES_tradnl"/>
        </w:rPr>
        <w:t>entre particulares</w:t>
      </w:r>
      <w:r w:rsidR="001D4759" w:rsidRPr="001D4759">
        <w:rPr>
          <w:lang w:val="es-ES_tradnl"/>
        </w:rPr>
        <w:t>,</w:t>
      </w:r>
      <w:r w:rsidR="00696737">
        <w:rPr>
          <w:lang w:val="es-ES_tradnl"/>
        </w:rPr>
        <w:t xml:space="preserve"> </w:t>
      </w:r>
      <w:r w:rsidR="001D4759" w:rsidRPr="001D4759">
        <w:rPr>
          <w:lang w:val="es-ES_tradnl"/>
        </w:rPr>
        <w:t xml:space="preserve">los jueces </w:t>
      </w:r>
      <w:r w:rsidR="005C3973">
        <w:rPr>
          <w:lang w:val="es-ES_tradnl"/>
        </w:rPr>
        <w:t>no están en la obligación de</w:t>
      </w:r>
      <w:r w:rsidR="001D4759" w:rsidRPr="001D4759">
        <w:rPr>
          <w:lang w:val="es-ES_tradnl"/>
        </w:rPr>
        <w:t xml:space="preserve"> considerar principios del derecho agrario y del derecho ambiental</w:t>
      </w:r>
      <w:r w:rsidR="001D4759">
        <w:rPr>
          <w:lang w:val="es-ES_tradnl"/>
        </w:rPr>
        <w:t xml:space="preserve">. </w:t>
      </w:r>
    </w:p>
    <w:p w:rsidR="00DA7BA8" w:rsidRDefault="001A543E" w:rsidP="00510AB1">
      <w:pPr>
        <w:pStyle w:val="SingleTxtG"/>
        <w:rPr>
          <w:lang w:val="es-ES_tradnl"/>
        </w:rPr>
      </w:pPr>
      <w:r w:rsidRPr="00DA7BA8">
        <w:rPr>
          <w:lang w:val="es-ES_tradnl"/>
        </w:rPr>
        <w:t>5.5</w:t>
      </w:r>
      <w:r w:rsidRPr="00DA7BA8">
        <w:rPr>
          <w:lang w:val="es-ES_tradnl"/>
        </w:rPr>
        <w:tab/>
      </w:r>
      <w:r w:rsidR="00EC7E40">
        <w:rPr>
          <w:lang w:val="es-ES_tradnl"/>
        </w:rPr>
        <w:t>En cuanto al</w:t>
      </w:r>
      <w:r w:rsidR="005C5828" w:rsidRPr="00DA7BA8">
        <w:rPr>
          <w:lang w:val="es-ES_tradnl"/>
        </w:rPr>
        <w:t xml:space="preserve"> fondo</w:t>
      </w:r>
      <w:r w:rsidR="001B6DE6" w:rsidRPr="00DA7BA8">
        <w:rPr>
          <w:lang w:val="es-ES_tradnl"/>
        </w:rPr>
        <w:t xml:space="preserve"> de la comunicación</w:t>
      </w:r>
      <w:r w:rsidR="003F2471">
        <w:rPr>
          <w:lang w:val="es-ES_tradnl"/>
        </w:rPr>
        <w:t>, los autores insisten</w:t>
      </w:r>
      <w:r w:rsidR="005C5828" w:rsidRPr="00DA7BA8">
        <w:rPr>
          <w:lang w:val="es-ES_tradnl"/>
        </w:rPr>
        <w:t xml:space="preserve"> en la violación del derecho a la vida </w:t>
      </w:r>
      <w:r w:rsidR="00821C6A">
        <w:rPr>
          <w:lang w:val="es-ES_tradnl"/>
        </w:rPr>
        <w:t>y del derecho a la integridad física</w:t>
      </w:r>
      <w:r w:rsidR="00DA7BA8" w:rsidRPr="00DA7BA8">
        <w:rPr>
          <w:lang w:val="es-ES_tradnl"/>
        </w:rPr>
        <w:t xml:space="preserve">, </w:t>
      </w:r>
      <w:r w:rsidR="00DA7BA8">
        <w:rPr>
          <w:lang w:val="es-ES_tradnl"/>
        </w:rPr>
        <w:t xml:space="preserve">observando que una dependencia del Estado señaló que el agua de </w:t>
      </w:r>
      <w:r w:rsidR="00AF69C0">
        <w:rPr>
          <w:lang w:val="es-ES_tradnl"/>
        </w:rPr>
        <w:t>los</w:t>
      </w:r>
      <w:r w:rsidR="00DA7BA8">
        <w:rPr>
          <w:lang w:val="es-ES_tradnl"/>
        </w:rPr>
        <w:t xml:space="preserve"> pozo</w:t>
      </w:r>
      <w:r w:rsidR="00AF69C0">
        <w:rPr>
          <w:lang w:val="es-ES_tradnl"/>
        </w:rPr>
        <w:t xml:space="preserve">s de uso </w:t>
      </w:r>
      <w:r w:rsidR="00A016DB">
        <w:rPr>
          <w:lang w:val="es-ES_tradnl"/>
        </w:rPr>
        <w:t>doméstico</w:t>
      </w:r>
      <w:r w:rsidR="00DA7BA8">
        <w:rPr>
          <w:lang w:val="es-ES_tradnl"/>
        </w:rPr>
        <w:t xml:space="preserve"> se encontraba contaminada por agroquímicos, y </w:t>
      </w:r>
      <w:r w:rsidR="003F08FB">
        <w:rPr>
          <w:lang w:val="es-ES_tradnl"/>
        </w:rPr>
        <w:t xml:space="preserve">que </w:t>
      </w:r>
      <w:r w:rsidR="00DA7BA8">
        <w:rPr>
          <w:lang w:val="es-ES_tradnl"/>
        </w:rPr>
        <w:t xml:space="preserve">otra dependencia ha señalado las faltas administrativas en las que incurrieron las empresas </w:t>
      </w:r>
      <w:r w:rsidR="0006754C">
        <w:rPr>
          <w:lang w:val="es-ES_tradnl"/>
        </w:rPr>
        <w:t>colindantes</w:t>
      </w:r>
      <w:r w:rsidR="00DA7BA8">
        <w:rPr>
          <w:lang w:val="es-ES_tradnl"/>
        </w:rPr>
        <w:t>.</w:t>
      </w:r>
      <w:r w:rsidR="00510AB1" w:rsidRPr="00510AB1">
        <w:rPr>
          <w:lang w:val="es-ES_tradnl"/>
        </w:rPr>
        <w:t xml:space="preserve"> </w:t>
      </w:r>
      <w:r w:rsidR="00510AB1">
        <w:rPr>
          <w:lang w:val="es-ES_tradnl"/>
        </w:rPr>
        <w:t xml:space="preserve">En consecuencia, los autores afirman que existieron </w:t>
      </w:r>
      <w:r w:rsidR="00510AB1" w:rsidRPr="00DA7BA8">
        <w:rPr>
          <w:lang w:val="es-ES_tradnl"/>
        </w:rPr>
        <w:t>acciones deliberadas</w:t>
      </w:r>
      <w:r w:rsidR="00125D8D">
        <w:rPr>
          <w:lang w:val="es-ES_tradnl"/>
        </w:rPr>
        <w:t xml:space="preserve"> de particulares</w:t>
      </w:r>
      <w:r w:rsidR="00510AB1" w:rsidRPr="00DA7BA8">
        <w:rPr>
          <w:lang w:val="es-ES_tradnl"/>
        </w:rPr>
        <w:t>, evitables</w:t>
      </w:r>
      <w:r w:rsidR="00510AB1">
        <w:rPr>
          <w:lang w:val="es-ES_tradnl"/>
        </w:rPr>
        <w:t xml:space="preserve"> por el Estado</w:t>
      </w:r>
      <w:r w:rsidR="00510AB1" w:rsidRPr="00DA7BA8">
        <w:rPr>
          <w:lang w:val="es-ES_tradnl"/>
        </w:rPr>
        <w:t>, que provocaron la m</w:t>
      </w:r>
      <w:r w:rsidR="001C3FEB">
        <w:rPr>
          <w:lang w:val="es-ES_tradnl"/>
        </w:rPr>
        <w:t>uerte de un campesino y afect</w:t>
      </w:r>
      <w:r w:rsidR="00510AB1" w:rsidRPr="00DA7BA8">
        <w:rPr>
          <w:lang w:val="es-ES_tradnl"/>
        </w:rPr>
        <w:t>ó otros miembros de la comunidad</w:t>
      </w:r>
      <w:r w:rsidR="001C3FEB">
        <w:rPr>
          <w:lang w:val="es-ES_tradnl"/>
        </w:rPr>
        <w:t xml:space="preserve"> en su </w:t>
      </w:r>
      <w:r w:rsidR="003F08FB">
        <w:rPr>
          <w:lang w:val="es-ES_tradnl"/>
        </w:rPr>
        <w:t xml:space="preserve">vida digna e </w:t>
      </w:r>
      <w:r w:rsidR="001C3FEB">
        <w:rPr>
          <w:lang w:val="es-ES_tradnl"/>
        </w:rPr>
        <w:t>integridad</w:t>
      </w:r>
      <w:r w:rsidR="00510AB1" w:rsidRPr="00DA7BA8">
        <w:rPr>
          <w:lang w:val="es-ES_tradnl"/>
        </w:rPr>
        <w:t>.</w:t>
      </w:r>
    </w:p>
    <w:p w:rsidR="00A8693A" w:rsidRPr="00810827" w:rsidRDefault="00E2559D" w:rsidP="00D11FE6">
      <w:pPr>
        <w:pStyle w:val="SingleTxtG"/>
        <w:rPr>
          <w:lang w:val="es-ES_tradnl"/>
        </w:rPr>
      </w:pPr>
      <w:r>
        <w:rPr>
          <w:lang w:val="es-ES_tradnl"/>
        </w:rPr>
        <w:t>5.6</w:t>
      </w:r>
      <w:r>
        <w:rPr>
          <w:lang w:val="es-ES_tradnl"/>
        </w:rPr>
        <w:tab/>
      </w:r>
      <w:r w:rsidR="00F53D8A">
        <w:rPr>
          <w:lang w:val="es-ES_tradnl"/>
        </w:rPr>
        <w:t>Al respecto, l</w:t>
      </w:r>
      <w:r w:rsidR="00DA7BA8">
        <w:rPr>
          <w:lang w:val="es-ES_tradnl"/>
        </w:rPr>
        <w:t>os autores defienden</w:t>
      </w:r>
      <w:r w:rsidR="00DA7BA8" w:rsidRPr="00DA7BA8">
        <w:rPr>
          <w:lang w:val="es-ES_tradnl"/>
        </w:rPr>
        <w:t xml:space="preserve"> que</w:t>
      </w:r>
      <w:r w:rsidR="00955B82">
        <w:rPr>
          <w:lang w:val="es-ES_tradnl"/>
        </w:rPr>
        <w:t>,</w:t>
      </w:r>
      <w:r w:rsidR="00A8693A" w:rsidRPr="00DA7BA8">
        <w:rPr>
          <w:lang w:val="es-ES_tradnl"/>
        </w:rPr>
        <w:t xml:space="preserve"> si el Estado </w:t>
      </w:r>
      <w:r w:rsidR="00EF15A2">
        <w:rPr>
          <w:lang w:val="es-ES_tradnl"/>
        </w:rPr>
        <w:t>“</w:t>
      </w:r>
      <w:r w:rsidR="00A8693A" w:rsidRPr="00DA7BA8">
        <w:rPr>
          <w:lang w:val="es-ES_tradnl"/>
        </w:rPr>
        <w:t>no procura controles efectivos sobre el no envenenamiento de bienes de consumo, entonces está atentando contra el derecho a la vida</w:t>
      </w:r>
      <w:r w:rsidR="00F53D8A">
        <w:rPr>
          <w:lang w:val="es-ES_tradnl"/>
        </w:rPr>
        <w:t>”</w:t>
      </w:r>
      <w:r w:rsidR="00EF15A2">
        <w:rPr>
          <w:lang w:val="es-ES_tradnl"/>
        </w:rPr>
        <w:t>.</w:t>
      </w:r>
      <w:r w:rsidR="00F53D8A">
        <w:rPr>
          <w:lang w:val="es-ES_tradnl"/>
        </w:rPr>
        <w:t xml:space="preserve"> </w:t>
      </w:r>
      <w:r w:rsidR="00EF15A2">
        <w:rPr>
          <w:lang w:val="es-ES_tradnl"/>
        </w:rPr>
        <w:t>A</w:t>
      </w:r>
      <w:r w:rsidR="00F53D8A">
        <w:rPr>
          <w:lang w:val="es-ES_tradnl"/>
        </w:rPr>
        <w:t>simismo, “</w:t>
      </w:r>
      <w:r w:rsidR="00A8693A" w:rsidRPr="00DA7BA8">
        <w:rPr>
          <w:lang w:val="es-ES_tradnl"/>
        </w:rPr>
        <w:t>un ambiente sano, una atención a la salud rápida y de calidad, y una alimentación libre de venenos, entrañan el derecho a la vida”.</w:t>
      </w:r>
      <w:r w:rsidR="00A8693A" w:rsidRPr="00DA7BA8">
        <w:rPr>
          <w:lang w:val="es-ES"/>
        </w:rPr>
        <w:t xml:space="preserve"> </w:t>
      </w:r>
      <w:r w:rsidR="00DA7BA8">
        <w:rPr>
          <w:lang w:val="es-ES"/>
        </w:rPr>
        <w:t xml:space="preserve">Los autores se basan </w:t>
      </w:r>
      <w:r w:rsidR="00ED4A2F">
        <w:rPr>
          <w:lang w:val="es-ES_tradnl"/>
        </w:rPr>
        <w:t>en la</w:t>
      </w:r>
      <w:r w:rsidR="00A8693A" w:rsidRPr="00DA7BA8">
        <w:rPr>
          <w:lang w:val="es-ES_tradnl"/>
        </w:rPr>
        <w:t xml:space="preserve"> Observac</w:t>
      </w:r>
      <w:r w:rsidR="00810827">
        <w:rPr>
          <w:lang w:val="es-ES_tradnl"/>
        </w:rPr>
        <w:t>ión general número 36</w:t>
      </w:r>
      <w:r w:rsidR="00752FC2">
        <w:rPr>
          <w:lang w:val="es-ES_tradnl"/>
        </w:rPr>
        <w:t xml:space="preserve"> para recordar que </w:t>
      </w:r>
      <w:r w:rsidR="00AF69C0" w:rsidRPr="00DA7BA8">
        <w:rPr>
          <w:lang w:val="es-ES_tradnl"/>
        </w:rPr>
        <w:t xml:space="preserve">los Estados deben </w:t>
      </w:r>
      <w:r w:rsidR="00810827" w:rsidRPr="00810827">
        <w:rPr>
          <w:lang w:val="es-ES_tradnl"/>
        </w:rPr>
        <w:t>adop</w:t>
      </w:r>
      <w:r w:rsidR="00810827">
        <w:rPr>
          <w:lang w:val="es-ES_tradnl"/>
        </w:rPr>
        <w:t>tar</w:t>
      </w:r>
      <w:r w:rsidR="0036771F">
        <w:rPr>
          <w:lang w:val="es-ES_tradnl"/>
        </w:rPr>
        <w:t xml:space="preserve"> todas</w:t>
      </w:r>
      <w:r w:rsidR="00810827">
        <w:rPr>
          <w:lang w:val="es-ES_tradnl"/>
        </w:rPr>
        <w:t xml:space="preserve"> las medidas apropiadas para </w:t>
      </w:r>
      <w:r w:rsidR="00810827" w:rsidRPr="00810827">
        <w:rPr>
          <w:lang w:val="es-ES_tradnl"/>
        </w:rPr>
        <w:t>hacer frente a las condiciones ge</w:t>
      </w:r>
      <w:r w:rsidR="00D11FE6">
        <w:rPr>
          <w:lang w:val="es-ES_tradnl"/>
        </w:rPr>
        <w:t>nerales de la sociedad que pueda</w:t>
      </w:r>
      <w:r w:rsidR="00810827" w:rsidRPr="00810827">
        <w:rPr>
          <w:lang w:val="es-ES_tradnl"/>
        </w:rPr>
        <w:t xml:space="preserve">n </w:t>
      </w:r>
      <w:r w:rsidR="00810827">
        <w:rPr>
          <w:lang w:val="es-ES_tradnl"/>
        </w:rPr>
        <w:t xml:space="preserve">dar lugar a amenazas </w:t>
      </w:r>
      <w:r w:rsidR="005E6C5D">
        <w:rPr>
          <w:lang w:val="es-ES_tradnl"/>
        </w:rPr>
        <w:t>del</w:t>
      </w:r>
      <w:r w:rsidR="00810827" w:rsidRPr="00810827">
        <w:rPr>
          <w:lang w:val="es-ES_tradnl"/>
        </w:rPr>
        <w:t xml:space="preserve"> derecho a la vida</w:t>
      </w:r>
      <w:r w:rsidR="005E6C5D">
        <w:rPr>
          <w:lang w:val="es-ES_tradnl"/>
        </w:rPr>
        <w:t>,</w:t>
      </w:r>
      <w:r w:rsidR="00810827" w:rsidRPr="00810827">
        <w:rPr>
          <w:lang w:val="es-ES_tradnl"/>
        </w:rPr>
        <w:t xml:space="preserve"> o impedir </w:t>
      </w:r>
      <w:r w:rsidR="005E6C5D">
        <w:rPr>
          <w:lang w:val="es-ES_tradnl"/>
        </w:rPr>
        <w:t>el</w:t>
      </w:r>
      <w:r w:rsidR="00810827" w:rsidRPr="00810827">
        <w:rPr>
          <w:lang w:val="es-ES_tradnl"/>
        </w:rPr>
        <w:t xml:space="preserve"> disfrute de</w:t>
      </w:r>
      <w:r w:rsidR="005E6C5D">
        <w:rPr>
          <w:lang w:val="es-ES_tradnl"/>
        </w:rPr>
        <w:t>l</w:t>
      </w:r>
      <w:r w:rsidR="00810827" w:rsidRPr="00810827">
        <w:rPr>
          <w:lang w:val="es-ES_tradnl"/>
        </w:rPr>
        <w:t xml:space="preserve"> </w:t>
      </w:r>
      <w:r w:rsidR="00810827">
        <w:rPr>
          <w:lang w:val="es-ES_tradnl"/>
        </w:rPr>
        <w:t xml:space="preserve">derecho a la </w:t>
      </w:r>
      <w:r w:rsidR="00810827">
        <w:rPr>
          <w:lang w:val="es-ES_tradnl"/>
        </w:rPr>
        <w:lastRenderedPageBreak/>
        <w:t>vida con dignidad</w:t>
      </w:r>
      <w:r w:rsidR="00AF69C0" w:rsidRPr="00DA7BA8">
        <w:rPr>
          <w:lang w:val="es-ES_tradnl"/>
        </w:rPr>
        <w:t xml:space="preserve">, </w:t>
      </w:r>
      <w:r w:rsidR="00810827">
        <w:rPr>
          <w:lang w:val="es-ES_tradnl"/>
        </w:rPr>
        <w:t xml:space="preserve">condiciones </w:t>
      </w:r>
      <w:r w:rsidR="00AF69C0" w:rsidRPr="00DA7BA8">
        <w:rPr>
          <w:lang w:val="es-ES_tradnl"/>
        </w:rPr>
        <w:t xml:space="preserve">entre </w:t>
      </w:r>
      <w:r w:rsidR="0057603B">
        <w:rPr>
          <w:lang w:val="es-ES_tradnl"/>
        </w:rPr>
        <w:t>las cuales</w:t>
      </w:r>
      <w:r w:rsidR="00AF69C0" w:rsidRPr="00DA7BA8">
        <w:rPr>
          <w:lang w:val="es-ES_tradnl"/>
        </w:rPr>
        <w:t xml:space="preserve"> figura la contaminación del medio ambiente</w:t>
      </w:r>
      <w:r w:rsidR="00810827">
        <w:rPr>
          <w:lang w:val="es-ES_tradnl"/>
        </w:rPr>
        <w:t>.</w:t>
      </w:r>
      <w:r w:rsidR="00AA28CC">
        <w:rPr>
          <w:rStyle w:val="FootnoteReference"/>
          <w:lang w:val="es-ES_tradnl"/>
        </w:rPr>
        <w:footnoteReference w:id="30"/>
      </w:r>
      <w:r w:rsidR="00AF69C0">
        <w:rPr>
          <w:lang w:val="es-ES_tradnl"/>
        </w:rPr>
        <w:t xml:space="preserve"> </w:t>
      </w:r>
      <w:r w:rsidR="00955B82">
        <w:rPr>
          <w:lang w:val="es-ES_tradnl"/>
        </w:rPr>
        <w:t>I</w:t>
      </w:r>
      <w:r w:rsidR="005E6C5D">
        <w:rPr>
          <w:lang w:val="es-ES_tradnl"/>
        </w:rPr>
        <w:t>nsisten en</w:t>
      </w:r>
      <w:r w:rsidR="00D11FE6">
        <w:rPr>
          <w:lang w:val="es-ES_tradnl"/>
        </w:rPr>
        <w:t xml:space="preserve"> que e</w:t>
      </w:r>
      <w:r w:rsidR="00D11FE6" w:rsidRPr="00D11FE6">
        <w:rPr>
          <w:lang w:val="es-ES_tradnl"/>
        </w:rPr>
        <w:t xml:space="preserve">l derecho a la vida </w:t>
      </w:r>
      <w:r w:rsidR="00D11FE6">
        <w:rPr>
          <w:lang w:val="es-ES_tradnl"/>
        </w:rPr>
        <w:t>también se refiere a</w:t>
      </w:r>
      <w:r w:rsidR="00D11FE6" w:rsidRPr="00D11FE6">
        <w:rPr>
          <w:lang w:val="es-ES_tradnl"/>
        </w:rPr>
        <w:t xml:space="preserve">l derecho </w:t>
      </w:r>
      <w:r w:rsidR="00D11FE6" w:rsidRPr="00DA7BA8">
        <w:rPr>
          <w:lang w:val="es-ES_tradnl"/>
        </w:rPr>
        <w:t xml:space="preserve">a no ser objeto de acciones u omisiones que causen </w:t>
      </w:r>
      <w:r w:rsidR="00D11FE6">
        <w:rPr>
          <w:lang w:val="es-ES_tradnl"/>
        </w:rPr>
        <w:t>una</w:t>
      </w:r>
      <w:r w:rsidR="00D11FE6" w:rsidRPr="00DA7BA8">
        <w:rPr>
          <w:lang w:val="es-ES_tradnl"/>
        </w:rPr>
        <w:t xml:space="preserve"> muerte prematura o no natural</w:t>
      </w:r>
      <w:r w:rsidR="00D11FE6" w:rsidRPr="00D11FE6">
        <w:rPr>
          <w:lang w:val="es-ES_tradnl"/>
        </w:rPr>
        <w:t xml:space="preserve">, </w:t>
      </w:r>
      <w:r w:rsidR="00BA19D4">
        <w:rPr>
          <w:lang w:val="es-ES_tradnl"/>
        </w:rPr>
        <w:t>y que también se refiere a</w:t>
      </w:r>
      <w:r w:rsidR="00AC661C">
        <w:rPr>
          <w:lang w:val="es-ES_tradnl"/>
        </w:rPr>
        <w:t>l derecho de disfrutar</w:t>
      </w:r>
      <w:r w:rsidR="00D11FE6">
        <w:rPr>
          <w:lang w:val="es-ES_tradnl"/>
        </w:rPr>
        <w:t xml:space="preserve"> de una vida digna</w:t>
      </w:r>
      <w:r w:rsidR="00A8693A" w:rsidRPr="00DA7BA8">
        <w:rPr>
          <w:lang w:val="es-ES_tradnl"/>
        </w:rPr>
        <w:t>.</w:t>
      </w:r>
      <w:r w:rsidR="00AF69C0">
        <w:rPr>
          <w:rStyle w:val="FootnoteReference"/>
          <w:lang w:val="es-ES_tradnl"/>
        </w:rPr>
        <w:footnoteReference w:id="31"/>
      </w:r>
      <w:r w:rsidR="00A8693A" w:rsidRPr="00DA7BA8">
        <w:rPr>
          <w:lang w:val="es-ES_tradnl"/>
        </w:rPr>
        <w:t xml:space="preserve"> </w:t>
      </w:r>
    </w:p>
    <w:p w:rsidR="00195175" w:rsidRDefault="00E2559D" w:rsidP="00FB3EDD">
      <w:pPr>
        <w:pStyle w:val="SingleTxtG"/>
        <w:rPr>
          <w:lang w:val="es-ES_tradnl"/>
        </w:rPr>
      </w:pPr>
      <w:r>
        <w:rPr>
          <w:lang w:val="es-ES_tradnl"/>
        </w:rPr>
        <w:t>5.7</w:t>
      </w:r>
      <w:r>
        <w:rPr>
          <w:lang w:val="es-ES_tradnl"/>
        </w:rPr>
        <w:tab/>
        <w:t>En cuanto a la violación del artículo 17</w:t>
      </w:r>
      <w:r w:rsidR="00EF30A8">
        <w:rPr>
          <w:lang w:val="es-ES_tradnl"/>
        </w:rPr>
        <w:t xml:space="preserve"> del Pacto</w:t>
      </w:r>
      <w:r>
        <w:rPr>
          <w:lang w:val="es-ES_tradnl"/>
        </w:rPr>
        <w:t xml:space="preserve">, </w:t>
      </w:r>
      <w:r w:rsidR="00D901CB">
        <w:rPr>
          <w:lang w:val="es-ES_tradnl"/>
        </w:rPr>
        <w:t xml:space="preserve">los autores sostienen que </w:t>
      </w:r>
      <w:r w:rsidR="00AC588C" w:rsidRPr="00B46328">
        <w:rPr>
          <w:lang w:val="es-ES_tradnl"/>
        </w:rPr>
        <w:t xml:space="preserve">el Estado </w:t>
      </w:r>
      <w:r w:rsidR="008A0682">
        <w:rPr>
          <w:lang w:val="es-ES_tradnl"/>
        </w:rPr>
        <w:t xml:space="preserve">parte </w:t>
      </w:r>
      <w:r w:rsidR="00AC588C" w:rsidRPr="00B46328">
        <w:rPr>
          <w:lang w:val="es-ES_tradnl"/>
        </w:rPr>
        <w:t xml:space="preserve">no puede pretender evadir su </w:t>
      </w:r>
      <w:r w:rsidR="00AC588C">
        <w:rPr>
          <w:lang w:val="es-ES_tradnl"/>
        </w:rPr>
        <w:t>responsabilidad</w:t>
      </w:r>
      <w:r w:rsidR="00AC588C" w:rsidRPr="00B46328">
        <w:rPr>
          <w:lang w:val="es-ES_tradnl"/>
        </w:rPr>
        <w:t xml:space="preserve"> </w:t>
      </w:r>
      <w:r w:rsidR="00AC588C">
        <w:rPr>
          <w:lang w:val="es-ES_tradnl"/>
        </w:rPr>
        <w:t>simplemente</w:t>
      </w:r>
      <w:r w:rsidR="00AC588C" w:rsidRPr="00B46328">
        <w:rPr>
          <w:lang w:val="es-ES_tradnl"/>
        </w:rPr>
        <w:t xml:space="preserve"> </w:t>
      </w:r>
      <w:r w:rsidR="00661558">
        <w:rPr>
          <w:lang w:val="es-ES_tradnl"/>
        </w:rPr>
        <w:t xml:space="preserve">por </w:t>
      </w:r>
      <w:r w:rsidR="008A0682">
        <w:rPr>
          <w:lang w:val="es-ES_tradnl"/>
        </w:rPr>
        <w:t>haber adoptado</w:t>
      </w:r>
      <w:r w:rsidR="00AC588C" w:rsidRPr="00B46328">
        <w:rPr>
          <w:lang w:val="es-ES_tradnl"/>
        </w:rPr>
        <w:t xml:space="preserve"> leyes ambientales y </w:t>
      </w:r>
      <w:r w:rsidR="008A0682">
        <w:rPr>
          <w:lang w:val="es-ES_tradnl"/>
        </w:rPr>
        <w:t xml:space="preserve">disponer de </w:t>
      </w:r>
      <w:r w:rsidR="00AC588C" w:rsidRPr="00B46328">
        <w:rPr>
          <w:lang w:val="es-ES_tradnl"/>
        </w:rPr>
        <w:t>órganos de aplicación</w:t>
      </w:r>
      <w:r w:rsidR="00661558">
        <w:rPr>
          <w:lang w:val="es-ES_tradnl"/>
        </w:rPr>
        <w:t xml:space="preserve"> de la normativa ambiental</w:t>
      </w:r>
      <w:r w:rsidR="008A0682">
        <w:rPr>
          <w:lang w:val="es-ES_tradnl"/>
        </w:rPr>
        <w:t>. D</w:t>
      </w:r>
      <w:r w:rsidR="00AC588C">
        <w:rPr>
          <w:lang w:val="es-ES_tradnl"/>
        </w:rPr>
        <w:t>efienden que</w:t>
      </w:r>
      <w:r w:rsidR="00DB0724">
        <w:rPr>
          <w:lang w:val="es-ES_tradnl"/>
        </w:rPr>
        <w:t xml:space="preserve"> la </w:t>
      </w:r>
      <w:r w:rsidR="007751D1" w:rsidRPr="00F87040">
        <w:rPr>
          <w:lang w:val="es-ES_tradnl"/>
        </w:rPr>
        <w:t xml:space="preserve">falta de control estatal del </w:t>
      </w:r>
      <w:r w:rsidR="00DB0724">
        <w:rPr>
          <w:lang w:val="es-ES_tradnl"/>
        </w:rPr>
        <w:t>respeto</w:t>
      </w:r>
      <w:r w:rsidR="007751D1" w:rsidRPr="00F87040">
        <w:rPr>
          <w:lang w:val="es-ES_tradnl"/>
        </w:rPr>
        <w:t xml:space="preserve"> de </w:t>
      </w:r>
      <w:r w:rsidR="008A0682">
        <w:rPr>
          <w:lang w:val="es-ES_tradnl"/>
        </w:rPr>
        <w:t xml:space="preserve">las </w:t>
      </w:r>
      <w:r w:rsidR="007751D1" w:rsidRPr="00F87040">
        <w:rPr>
          <w:lang w:val="es-ES_tradnl"/>
        </w:rPr>
        <w:t xml:space="preserve">normas ambientales </w:t>
      </w:r>
      <w:r w:rsidR="008A0682">
        <w:rPr>
          <w:lang w:val="es-ES_tradnl"/>
        </w:rPr>
        <w:t>es</w:t>
      </w:r>
      <w:r w:rsidR="005D59E5">
        <w:rPr>
          <w:lang w:val="es-ES_tradnl"/>
        </w:rPr>
        <w:t xml:space="preserve"> precisamente</w:t>
      </w:r>
      <w:r w:rsidR="008A0682">
        <w:rPr>
          <w:lang w:val="es-ES_tradnl"/>
        </w:rPr>
        <w:t xml:space="preserve"> lo que </w:t>
      </w:r>
      <w:r w:rsidR="00F87040" w:rsidRPr="00F87040">
        <w:rPr>
          <w:lang w:val="es-ES_tradnl"/>
        </w:rPr>
        <w:t xml:space="preserve">constituye una injerencia arbitraria </w:t>
      </w:r>
      <w:r w:rsidR="008A0682">
        <w:rPr>
          <w:lang w:val="es-ES_tradnl"/>
        </w:rPr>
        <w:t>en</w:t>
      </w:r>
      <w:r w:rsidR="00F87040" w:rsidRPr="00F87040">
        <w:rPr>
          <w:lang w:val="es-ES_tradnl"/>
        </w:rPr>
        <w:t xml:space="preserve"> la vida privada, familiar y </w:t>
      </w:r>
      <w:r w:rsidR="005D59E5">
        <w:rPr>
          <w:lang w:val="es-ES_tradnl"/>
        </w:rPr>
        <w:t xml:space="preserve">en el </w:t>
      </w:r>
      <w:r w:rsidR="00F87040" w:rsidRPr="00F87040">
        <w:rPr>
          <w:lang w:val="es-ES_tradnl"/>
        </w:rPr>
        <w:t xml:space="preserve">domicilio. </w:t>
      </w:r>
      <w:r w:rsidR="008A0682">
        <w:rPr>
          <w:lang w:val="es-ES_tradnl"/>
        </w:rPr>
        <w:t>Los autores recuerdan</w:t>
      </w:r>
      <w:r w:rsidR="00AC588C">
        <w:rPr>
          <w:lang w:val="es-ES_tradnl"/>
        </w:rPr>
        <w:t xml:space="preserve"> </w:t>
      </w:r>
      <w:r w:rsidR="00F87040" w:rsidRPr="00F87040">
        <w:rPr>
          <w:lang w:val="es-ES_tradnl"/>
        </w:rPr>
        <w:t>que los recursos hídricos resultaron envenenados, los cultivos contaminados, los animales de cría muertos, y sostienen que todo esto constituye parte de la vida privada, familiar y domicilio</w:t>
      </w:r>
      <w:r w:rsidR="00AC588C">
        <w:rPr>
          <w:lang w:val="es-ES_tradnl"/>
        </w:rPr>
        <w:t>,</w:t>
      </w:r>
      <w:r w:rsidR="00F87040" w:rsidRPr="00F87040">
        <w:rPr>
          <w:lang w:val="es-ES_tradnl"/>
        </w:rPr>
        <w:t xml:space="preserve"> que fueron invadidos</w:t>
      </w:r>
      <w:r w:rsidR="005E350C">
        <w:rPr>
          <w:lang w:val="es-ES_tradnl"/>
        </w:rPr>
        <w:t>.</w:t>
      </w:r>
      <w:r w:rsidR="00565A5E">
        <w:rPr>
          <w:lang w:val="es-ES_tradnl"/>
        </w:rPr>
        <w:t xml:space="preserve"> </w:t>
      </w:r>
      <w:r w:rsidR="005E350C">
        <w:rPr>
          <w:lang w:val="es-ES_tradnl"/>
        </w:rPr>
        <w:t>Lo anterior</w:t>
      </w:r>
      <w:r w:rsidR="00565A5E">
        <w:rPr>
          <w:lang w:val="es-ES_tradnl"/>
        </w:rPr>
        <w:t xml:space="preserve"> se</w:t>
      </w:r>
      <w:r w:rsidR="00565A5E" w:rsidRPr="00565A5E">
        <w:rPr>
          <w:lang w:val="es-ES_tradnl"/>
        </w:rPr>
        <w:t xml:space="preserve"> </w:t>
      </w:r>
      <w:r w:rsidR="00565A5E" w:rsidRPr="0031032F">
        <w:rPr>
          <w:lang w:val="es-ES_tradnl"/>
        </w:rPr>
        <w:t xml:space="preserve">podría haber evitado si el Estado </w:t>
      </w:r>
      <w:r w:rsidR="00565A5E">
        <w:rPr>
          <w:lang w:val="es-ES_tradnl"/>
        </w:rPr>
        <w:t>hubiera sido</w:t>
      </w:r>
      <w:r w:rsidR="00565A5E" w:rsidRPr="0031032F">
        <w:rPr>
          <w:lang w:val="es-ES_tradnl"/>
        </w:rPr>
        <w:t xml:space="preserve"> diligente con </w:t>
      </w:r>
      <w:r w:rsidR="00565A5E" w:rsidRPr="00EF5D3E">
        <w:rPr>
          <w:lang w:val="es-ES_tradnl"/>
        </w:rPr>
        <w:t>su deber de protección</w:t>
      </w:r>
      <w:r w:rsidR="004D6282">
        <w:rPr>
          <w:lang w:val="es-ES_tradnl"/>
        </w:rPr>
        <w:t>.</w:t>
      </w:r>
    </w:p>
    <w:p w:rsidR="00523E47" w:rsidRPr="00523E47" w:rsidRDefault="00523E47" w:rsidP="00FB3EDD">
      <w:pPr>
        <w:pStyle w:val="SingleTxtG"/>
        <w:rPr>
          <w:lang w:val="es-ES_tradnl"/>
        </w:rPr>
      </w:pPr>
      <w:r w:rsidRPr="00523E47">
        <w:rPr>
          <w:lang w:val="es-ES_tradnl"/>
        </w:rPr>
        <w:t>5.8</w:t>
      </w:r>
      <w:r w:rsidRPr="00523E47">
        <w:rPr>
          <w:lang w:val="es-ES_tradnl"/>
        </w:rPr>
        <w:tab/>
      </w:r>
      <w:r w:rsidR="00567BD8">
        <w:rPr>
          <w:lang w:val="es-ES_tradnl"/>
        </w:rPr>
        <w:t>E</w:t>
      </w:r>
      <w:r w:rsidRPr="00523E47">
        <w:rPr>
          <w:lang w:val="es-ES_tradnl"/>
        </w:rPr>
        <w:t>n cuanto a los sumarios administrativos abiertos después de cinco años de haber acontecido los hechos,</w:t>
      </w:r>
      <w:r w:rsidRPr="00523E47">
        <w:rPr>
          <w:rStyle w:val="FootnoteReference"/>
          <w:lang w:val="es-ES_tradnl"/>
        </w:rPr>
        <w:footnoteReference w:id="32"/>
      </w:r>
      <w:r w:rsidRPr="00523E47">
        <w:rPr>
          <w:lang w:val="es-ES_tradnl"/>
        </w:rPr>
        <w:t xml:space="preserve"> los autores afirman que</w:t>
      </w:r>
      <w:r w:rsidR="00541800">
        <w:rPr>
          <w:lang w:val="es-ES_tradnl"/>
        </w:rPr>
        <w:t>, no solamente</w:t>
      </w:r>
      <w:r w:rsidRPr="00523E47">
        <w:rPr>
          <w:lang w:val="es-ES_tradnl"/>
        </w:rPr>
        <w:t xml:space="preserve"> no han implicado ninguna suspensión de fumigación</w:t>
      </w:r>
      <w:r w:rsidR="00541800">
        <w:rPr>
          <w:lang w:val="es-ES_tradnl"/>
        </w:rPr>
        <w:t>,</w:t>
      </w:r>
      <w:r w:rsidRPr="00523E47">
        <w:rPr>
          <w:lang w:val="es-ES_tradnl"/>
        </w:rPr>
        <w:t xml:space="preserve"> </w:t>
      </w:r>
      <w:r w:rsidR="00541800">
        <w:rPr>
          <w:lang w:val="es-ES_tradnl"/>
        </w:rPr>
        <w:t>sino que e</w:t>
      </w:r>
      <w:r w:rsidR="00B86286">
        <w:rPr>
          <w:lang w:val="es-ES_tradnl"/>
        </w:rPr>
        <w:t>l</w:t>
      </w:r>
      <w:r w:rsidRPr="00523E47">
        <w:rPr>
          <w:lang w:val="es-ES_tradnl"/>
        </w:rPr>
        <w:t xml:space="preserve"> sumario administrativo instruido a la firma</w:t>
      </w:r>
      <w:r w:rsidRPr="00523E47">
        <w:rPr>
          <w:lang w:val="es-ES"/>
        </w:rPr>
        <w:t xml:space="preserve"> </w:t>
      </w:r>
      <w:r w:rsidRPr="00523E47">
        <w:rPr>
          <w:lang w:val="es-ES_tradnl"/>
        </w:rPr>
        <w:t xml:space="preserve">Hermanos </w:t>
      </w:r>
      <w:proofErr w:type="spellStart"/>
      <w:r w:rsidRPr="00523E47">
        <w:rPr>
          <w:lang w:val="es-ES_tradnl"/>
        </w:rPr>
        <w:t>Galhera</w:t>
      </w:r>
      <w:proofErr w:type="spellEnd"/>
      <w:r w:rsidRPr="00523E47">
        <w:rPr>
          <w:lang w:val="es-ES_tradnl"/>
        </w:rPr>
        <w:t xml:space="preserve"> </w:t>
      </w:r>
      <w:proofErr w:type="spellStart"/>
      <w:r w:rsidRPr="00523E47">
        <w:rPr>
          <w:lang w:val="es-ES_tradnl"/>
        </w:rPr>
        <w:t>Agrovalle</w:t>
      </w:r>
      <w:proofErr w:type="spellEnd"/>
      <w:r w:rsidRPr="00523E47">
        <w:rPr>
          <w:lang w:val="es-ES_tradnl"/>
        </w:rPr>
        <w:t xml:space="preserve"> del Sol S.A. y/o </w:t>
      </w:r>
      <w:proofErr w:type="spellStart"/>
      <w:r w:rsidRPr="00523E47">
        <w:rPr>
          <w:lang w:val="es-ES_tradnl"/>
        </w:rPr>
        <w:t>Emmerson</w:t>
      </w:r>
      <w:proofErr w:type="spellEnd"/>
      <w:r w:rsidRPr="00523E47">
        <w:rPr>
          <w:lang w:val="es-ES_tradnl"/>
        </w:rPr>
        <w:t xml:space="preserve"> </w:t>
      </w:r>
      <w:proofErr w:type="spellStart"/>
      <w:r w:rsidRPr="00523E47">
        <w:rPr>
          <w:lang w:val="es-ES_tradnl"/>
        </w:rPr>
        <w:t>Shimmin</w:t>
      </w:r>
      <w:proofErr w:type="spellEnd"/>
      <w:r w:rsidR="00B86286">
        <w:rPr>
          <w:lang w:val="es-ES_tradnl"/>
        </w:rPr>
        <w:t xml:space="preserve"> terminó en una absolución</w:t>
      </w:r>
      <w:r w:rsidR="00E429F8">
        <w:rPr>
          <w:lang w:val="es-ES_tradnl"/>
        </w:rPr>
        <w:t>,</w:t>
      </w:r>
      <w:r w:rsidRPr="00523E47">
        <w:rPr>
          <w:lang w:val="es-ES_tradnl"/>
        </w:rPr>
        <w:t xml:space="preserve"> después de un recurso de reconsideración presentado el 23 de mayo de 2018. </w:t>
      </w:r>
      <w:r w:rsidR="00541800">
        <w:rPr>
          <w:lang w:val="es-ES_tradnl"/>
        </w:rPr>
        <w:t>E</w:t>
      </w:r>
      <w:r w:rsidRPr="00523E47">
        <w:rPr>
          <w:lang w:val="es-ES_tradnl"/>
        </w:rPr>
        <w:t xml:space="preserve">n un dictamen de 24 de septiembre de 2018, la Dirección de Asesoría Jurídica del Ministerio de Ambiente y Desarrollo Sostenible observó que “no ha podido probarse fehacientemente quien es el propietario o dueño del establecimiento que fue objeto de intervención por parte de los fiscalizadores ambientales”; “no constan datos indispensables como el número de finca y padrón de la propiedad ni tampoco se ha tomado nota de las coordenadas del lugar, de modo que no se tienen mayores datos </w:t>
      </w:r>
      <w:r w:rsidR="001E649C">
        <w:rPr>
          <w:lang w:val="es-ES_tradnl"/>
        </w:rPr>
        <w:t>sobre</w:t>
      </w:r>
      <w:r w:rsidRPr="00523E47">
        <w:rPr>
          <w:lang w:val="es-ES_tradnl"/>
        </w:rPr>
        <w:t xml:space="preserve"> quien sería la persona física o jurídica propietaria o arrendataria del citado inmueble”. </w:t>
      </w:r>
      <w:r w:rsidR="00355842">
        <w:rPr>
          <w:lang w:val="es-ES_tradnl"/>
        </w:rPr>
        <w:t xml:space="preserve">Así, </w:t>
      </w:r>
      <w:r w:rsidR="00355842" w:rsidRPr="00523E47">
        <w:rPr>
          <w:lang w:val="es-ES_tradnl"/>
        </w:rPr>
        <w:t>mediante resolución n</w:t>
      </w:r>
      <w:r w:rsidR="00355842">
        <w:rPr>
          <w:lang w:val="es-ES_tradnl"/>
        </w:rPr>
        <w:t>úmero</w:t>
      </w:r>
      <w:r w:rsidR="00355842" w:rsidRPr="00523E47">
        <w:rPr>
          <w:lang w:val="es-ES_tradnl"/>
        </w:rPr>
        <w:t xml:space="preserve"> 116/18</w:t>
      </w:r>
      <w:r w:rsidR="00355842">
        <w:rPr>
          <w:lang w:val="es-ES_tradnl"/>
        </w:rPr>
        <w:t xml:space="preserve"> de</w:t>
      </w:r>
      <w:r w:rsidRPr="00523E47">
        <w:rPr>
          <w:lang w:val="es-ES_tradnl"/>
        </w:rPr>
        <w:t xml:space="preserve"> 10 de octubre de 2018, el Ministerio </w:t>
      </w:r>
      <w:r w:rsidR="00355842">
        <w:rPr>
          <w:lang w:val="es-ES_tradnl"/>
        </w:rPr>
        <w:t xml:space="preserve">decidió </w:t>
      </w:r>
      <w:r w:rsidRPr="00523E47">
        <w:rPr>
          <w:lang w:val="es-ES_tradnl"/>
        </w:rPr>
        <w:t>sobreseer a la firma y al</w:t>
      </w:r>
      <w:r w:rsidRPr="00523E47">
        <w:rPr>
          <w:lang w:val="es-ES"/>
        </w:rPr>
        <w:t xml:space="preserve"> </w:t>
      </w:r>
      <w:r w:rsidRPr="00523E47">
        <w:rPr>
          <w:lang w:val="es-ES_tradnl"/>
        </w:rPr>
        <w:t xml:space="preserve">Sr. Emerson </w:t>
      </w:r>
      <w:proofErr w:type="spellStart"/>
      <w:r w:rsidRPr="00523E47">
        <w:rPr>
          <w:lang w:val="es-ES_tradnl"/>
        </w:rPr>
        <w:t>Shimmin</w:t>
      </w:r>
      <w:proofErr w:type="spellEnd"/>
      <w:r w:rsidRPr="00523E47">
        <w:rPr>
          <w:lang w:val="es-ES_tradnl"/>
        </w:rPr>
        <w:t>. En cuanto al sumario administrativo instruido a la firma Cóndor Agrícola S.A. y/o KLM S.A, los autores no pudieron acceder al expediente para analizar los detalles de su contenido</w:t>
      </w:r>
      <w:r w:rsidR="009A20D0">
        <w:rPr>
          <w:lang w:val="es-ES_tradnl"/>
        </w:rPr>
        <w:t>,</w:t>
      </w:r>
      <w:r w:rsidR="009A20D0" w:rsidRPr="009A20D0">
        <w:rPr>
          <w:lang w:val="es-ES_tradnl"/>
        </w:rPr>
        <w:t xml:space="preserve"> </w:t>
      </w:r>
      <w:r w:rsidR="009A20D0">
        <w:rPr>
          <w:lang w:val="es-ES_tradnl"/>
        </w:rPr>
        <w:t>a pesar de haber</w:t>
      </w:r>
      <w:r w:rsidR="009A20D0" w:rsidRPr="00523E47">
        <w:rPr>
          <w:lang w:val="es-ES_tradnl"/>
        </w:rPr>
        <w:t xml:space="preserve"> solicitado copia a la institución pertinente</w:t>
      </w:r>
      <w:r w:rsidRPr="00523E47">
        <w:rPr>
          <w:lang w:val="es-ES_tradnl"/>
        </w:rPr>
        <w:t xml:space="preserve">. </w:t>
      </w:r>
    </w:p>
    <w:p w:rsidR="008751AA" w:rsidRDefault="00CA1F43" w:rsidP="00CA1F43">
      <w:pPr>
        <w:pStyle w:val="SingleTxtG"/>
        <w:rPr>
          <w:lang w:val="es-ES_tradnl"/>
        </w:rPr>
      </w:pPr>
      <w:r>
        <w:rPr>
          <w:lang w:val="es-ES_tradnl"/>
        </w:rPr>
        <w:t>5.9</w:t>
      </w:r>
      <w:r w:rsidR="00FB3EDD">
        <w:rPr>
          <w:lang w:val="es-ES_tradnl"/>
        </w:rPr>
        <w:tab/>
      </w:r>
      <w:r w:rsidR="003138C2">
        <w:rPr>
          <w:lang w:val="es-ES_tradnl"/>
        </w:rPr>
        <w:t xml:space="preserve">Por otra parte, </w:t>
      </w:r>
      <w:r w:rsidR="00112469">
        <w:rPr>
          <w:lang w:val="es-ES_tradnl"/>
        </w:rPr>
        <w:t xml:space="preserve">los autores defienden que </w:t>
      </w:r>
      <w:r w:rsidR="004D6282">
        <w:rPr>
          <w:lang w:val="es-ES_tradnl"/>
        </w:rPr>
        <w:t>lo</w:t>
      </w:r>
      <w:r w:rsidR="003138C2">
        <w:rPr>
          <w:lang w:val="es-ES_tradnl"/>
        </w:rPr>
        <w:t>s</w:t>
      </w:r>
      <w:r w:rsidR="004D6282">
        <w:rPr>
          <w:lang w:val="es-ES_tradnl"/>
        </w:rPr>
        <w:t xml:space="preserve"> </w:t>
      </w:r>
      <w:r w:rsidR="003138C2">
        <w:rPr>
          <w:lang w:val="es-ES_tradnl"/>
        </w:rPr>
        <w:t>hechos del presente caso no son</w:t>
      </w:r>
      <w:r w:rsidR="003138C2" w:rsidRPr="00AB0FD4">
        <w:rPr>
          <w:lang w:val="es-ES_tradnl"/>
        </w:rPr>
        <w:t xml:space="preserve"> </w:t>
      </w:r>
      <w:r w:rsidR="003138C2" w:rsidRPr="00112469">
        <w:rPr>
          <w:lang w:val="es-ES_tradnl"/>
        </w:rPr>
        <w:t>aislados</w:t>
      </w:r>
      <w:r w:rsidR="003138C2">
        <w:rPr>
          <w:lang w:val="es-ES_tradnl"/>
        </w:rPr>
        <w:t xml:space="preserve">, </w:t>
      </w:r>
      <w:r w:rsidR="00112469">
        <w:rPr>
          <w:lang w:val="es-ES_tradnl"/>
        </w:rPr>
        <w:t>ya</w:t>
      </w:r>
      <w:r w:rsidR="00AB0FD4" w:rsidRPr="00AB0FD4">
        <w:rPr>
          <w:lang w:val="es-ES_tradnl"/>
        </w:rPr>
        <w:t xml:space="preserve"> que </w:t>
      </w:r>
      <w:r w:rsidR="00112469">
        <w:rPr>
          <w:lang w:val="es-ES_tradnl"/>
        </w:rPr>
        <w:t>existen</w:t>
      </w:r>
      <w:r w:rsidR="00AB0FD4" w:rsidRPr="00AB0FD4">
        <w:rPr>
          <w:lang w:val="es-ES_tradnl"/>
        </w:rPr>
        <w:t xml:space="preserve"> abundantes </w:t>
      </w:r>
      <w:r w:rsidR="00112469">
        <w:rPr>
          <w:lang w:val="es-ES_tradnl"/>
        </w:rPr>
        <w:t>pronunciamientos</w:t>
      </w:r>
      <w:r w:rsidR="00AB0FD4" w:rsidRPr="00AB0FD4">
        <w:rPr>
          <w:lang w:val="es-ES_tradnl"/>
        </w:rPr>
        <w:t xml:space="preserve"> internacionales </w:t>
      </w:r>
      <w:r w:rsidR="00112469">
        <w:rPr>
          <w:lang w:val="es-ES_tradnl"/>
        </w:rPr>
        <w:t>al respecto</w:t>
      </w:r>
      <w:r w:rsidR="00AB0FD4">
        <w:rPr>
          <w:lang w:val="es-ES_tradnl"/>
        </w:rPr>
        <w:t>.</w:t>
      </w:r>
      <w:r w:rsidR="00350104" w:rsidRPr="00350104">
        <w:rPr>
          <w:lang w:val="es-ES"/>
        </w:rPr>
        <w:t xml:space="preserve"> </w:t>
      </w:r>
      <w:r w:rsidR="00112469">
        <w:rPr>
          <w:lang w:val="es-ES"/>
        </w:rPr>
        <w:t>Además de lo</w:t>
      </w:r>
      <w:r w:rsidR="00DD271E">
        <w:rPr>
          <w:lang w:val="es-ES"/>
        </w:rPr>
        <w:t xml:space="preserve"> ya</w:t>
      </w:r>
      <w:r w:rsidR="00112469">
        <w:rPr>
          <w:lang w:val="es-ES"/>
        </w:rPr>
        <w:t xml:space="preserve"> avanzado como contexto del caso (</w:t>
      </w:r>
      <w:r w:rsidR="004978D6">
        <w:rPr>
          <w:lang w:val="es-ES"/>
        </w:rPr>
        <w:t>párr.</w:t>
      </w:r>
      <w:r w:rsidR="00112469">
        <w:rPr>
          <w:lang w:val="es-ES"/>
        </w:rPr>
        <w:t>3.2)</w:t>
      </w:r>
      <w:r w:rsidR="00BE1DCC">
        <w:rPr>
          <w:lang w:val="es-ES"/>
        </w:rPr>
        <w:t xml:space="preserve">, los autores </w:t>
      </w:r>
      <w:r w:rsidR="00917D15">
        <w:rPr>
          <w:lang w:val="es-ES"/>
        </w:rPr>
        <w:t>mencionan</w:t>
      </w:r>
      <w:r w:rsidR="00BE1DCC">
        <w:rPr>
          <w:lang w:val="es-ES"/>
        </w:rPr>
        <w:t xml:space="preserve"> </w:t>
      </w:r>
      <w:r w:rsidR="00BE1DCC" w:rsidRPr="00BE1DCC">
        <w:rPr>
          <w:lang w:val="es-ES"/>
        </w:rPr>
        <w:t>el</w:t>
      </w:r>
      <w:r w:rsidR="00112469" w:rsidRPr="00BE1DCC">
        <w:rPr>
          <w:lang w:val="es-ES"/>
        </w:rPr>
        <w:t xml:space="preserve"> </w:t>
      </w:r>
      <w:r w:rsidR="00917D15">
        <w:rPr>
          <w:lang w:val="es-ES_tradnl"/>
        </w:rPr>
        <w:t>i</w:t>
      </w:r>
      <w:r w:rsidR="00350104" w:rsidRPr="00BE1DCC">
        <w:rPr>
          <w:lang w:val="es-ES_tradnl"/>
        </w:rPr>
        <w:t xml:space="preserve">nforme de la Relatora Especial </w:t>
      </w:r>
      <w:r w:rsidR="00BE1DCC" w:rsidRPr="00BE1DCC">
        <w:rPr>
          <w:lang w:val="es-ES_tradnl"/>
        </w:rPr>
        <w:t xml:space="preserve">de Naciones Unidas </w:t>
      </w:r>
      <w:r w:rsidR="00350104" w:rsidRPr="00BE1DCC">
        <w:rPr>
          <w:lang w:val="es-ES_tradnl"/>
        </w:rPr>
        <w:t>sobre el derecho a la alimentación</w:t>
      </w:r>
      <w:r w:rsidR="00DC19AB">
        <w:rPr>
          <w:lang w:val="es-ES_tradnl"/>
        </w:rPr>
        <w:t>,</w:t>
      </w:r>
      <w:r w:rsidR="008A335B">
        <w:rPr>
          <w:lang w:val="es-ES_tradnl"/>
        </w:rPr>
        <w:t xml:space="preserve"> </w:t>
      </w:r>
      <w:r w:rsidR="00854A27">
        <w:rPr>
          <w:lang w:val="es-ES_tradnl"/>
        </w:rPr>
        <w:t>después</w:t>
      </w:r>
      <w:r w:rsidR="008A335B">
        <w:rPr>
          <w:lang w:val="es-ES_tradnl"/>
        </w:rPr>
        <w:t xml:space="preserve"> de su misión a</w:t>
      </w:r>
      <w:r w:rsidR="00350104" w:rsidRPr="00BE1DCC">
        <w:rPr>
          <w:lang w:val="es-ES_tradnl"/>
        </w:rPr>
        <w:t xml:space="preserve"> Paraguay</w:t>
      </w:r>
      <w:r w:rsidR="00BE1DCC">
        <w:rPr>
          <w:lang w:val="es-ES_tradnl"/>
        </w:rPr>
        <w:t>,</w:t>
      </w:r>
      <w:r w:rsidR="00A57BF3" w:rsidRPr="00A57BF3">
        <w:rPr>
          <w:lang w:val="es-ES_tradnl"/>
        </w:rPr>
        <w:t xml:space="preserve"> </w:t>
      </w:r>
      <w:r w:rsidR="00BE1DCC">
        <w:rPr>
          <w:lang w:val="es-ES_tradnl"/>
        </w:rPr>
        <w:t>en el que solicitó al Estado parte e</w:t>
      </w:r>
      <w:r w:rsidR="00A57BF3" w:rsidRPr="00A57BF3">
        <w:rPr>
          <w:lang w:val="es-ES_tradnl"/>
        </w:rPr>
        <w:t xml:space="preserve">stablecer un marco jurídico eficaz para la protección del medio </w:t>
      </w:r>
      <w:r w:rsidR="00A57BF3" w:rsidRPr="00A57BF3">
        <w:rPr>
          <w:lang w:val="es-ES_tradnl"/>
        </w:rPr>
        <w:lastRenderedPageBreak/>
        <w:t>ambiente que incluya la protección contra el uso de</w:t>
      </w:r>
      <w:r w:rsidR="00DC19AB">
        <w:rPr>
          <w:lang w:val="es-ES_tradnl"/>
        </w:rPr>
        <w:t xml:space="preserve"> productos agroquímicos tóxicos</w:t>
      </w:r>
      <w:r w:rsidR="00854A27">
        <w:rPr>
          <w:lang w:val="es-ES_tradnl"/>
        </w:rPr>
        <w:t>,</w:t>
      </w:r>
      <w:r w:rsidR="00A57BF3" w:rsidRPr="00A57BF3">
        <w:rPr>
          <w:lang w:val="es-ES_tradnl"/>
        </w:rPr>
        <w:t xml:space="preserve"> que establezca sanciones apropiadas para los que infringen la ley</w:t>
      </w:r>
      <w:r w:rsidR="00854A27">
        <w:rPr>
          <w:lang w:val="es-ES_tradnl"/>
        </w:rPr>
        <w:t>,</w:t>
      </w:r>
      <w:r w:rsidR="00A57BF3" w:rsidRPr="00A57BF3">
        <w:rPr>
          <w:lang w:val="es-ES_tradnl"/>
        </w:rPr>
        <w:t xml:space="preserve"> </w:t>
      </w:r>
      <w:r w:rsidR="00A57BF3" w:rsidRPr="00DE1F5D">
        <w:rPr>
          <w:lang w:val="es-ES_tradnl"/>
        </w:rPr>
        <w:t>y una compensación adecuada de las personas afectadas.</w:t>
      </w:r>
      <w:r w:rsidR="001C445C" w:rsidRPr="00BE1DCC">
        <w:rPr>
          <w:rStyle w:val="FootnoteReference"/>
          <w:lang w:val="es-ES_tradnl"/>
        </w:rPr>
        <w:footnoteReference w:id="33"/>
      </w:r>
      <w:r w:rsidR="00BE1DCC" w:rsidRPr="00DE1F5D">
        <w:rPr>
          <w:lang w:val="es-ES_tradnl"/>
        </w:rPr>
        <w:t xml:space="preserve"> Los autores citan también el</w:t>
      </w:r>
      <w:r w:rsidR="008A335B">
        <w:rPr>
          <w:lang w:val="es-ES_tradnl"/>
        </w:rPr>
        <w:t xml:space="preserve"> i</w:t>
      </w:r>
      <w:r w:rsidR="00A57BF3" w:rsidRPr="00DE1F5D">
        <w:rPr>
          <w:lang w:val="es-ES_tradnl"/>
        </w:rPr>
        <w:t xml:space="preserve">nforme de la Relatora Especial sobre </w:t>
      </w:r>
      <w:r w:rsidR="008A335B">
        <w:rPr>
          <w:lang w:val="es-ES_tradnl"/>
        </w:rPr>
        <w:t>los</w:t>
      </w:r>
      <w:r w:rsidR="00A57BF3" w:rsidRPr="00DE1F5D">
        <w:rPr>
          <w:lang w:val="es-ES_tradnl"/>
        </w:rPr>
        <w:t xml:space="preserve"> derecho</w:t>
      </w:r>
      <w:r w:rsidR="008A335B">
        <w:rPr>
          <w:lang w:val="es-ES_tradnl"/>
        </w:rPr>
        <w:t>s</w:t>
      </w:r>
      <w:r w:rsidR="00A57BF3" w:rsidRPr="00DE1F5D">
        <w:rPr>
          <w:lang w:val="es-ES_tradnl"/>
        </w:rPr>
        <w:t xml:space="preserve"> de los Pueblos </w:t>
      </w:r>
      <w:r w:rsidR="008A335B">
        <w:rPr>
          <w:lang w:val="es-ES_tradnl"/>
        </w:rPr>
        <w:t>Indígenas acerca de su misión a</w:t>
      </w:r>
      <w:r w:rsidR="00A57BF3" w:rsidRPr="00DE1F5D">
        <w:rPr>
          <w:lang w:val="es-ES_tradnl"/>
        </w:rPr>
        <w:t xml:space="preserve"> Paraguay, </w:t>
      </w:r>
      <w:r w:rsidR="00DE1F5D">
        <w:rPr>
          <w:lang w:val="es-ES_tradnl"/>
        </w:rPr>
        <w:t>el cual observó que el</w:t>
      </w:r>
      <w:r w:rsidR="007A3E4D">
        <w:rPr>
          <w:lang w:val="es-ES_tradnl"/>
        </w:rPr>
        <w:t xml:space="preserve"> modelo de desarrollo del país</w:t>
      </w:r>
      <w:r w:rsidR="0059763E" w:rsidRPr="00DE1F5D">
        <w:rPr>
          <w:lang w:val="es-ES_tradnl"/>
        </w:rPr>
        <w:t xml:space="preserve"> que fomenta un rápido crecimiento económico a través de </w:t>
      </w:r>
      <w:r w:rsidR="0059763E" w:rsidRPr="0059763E">
        <w:rPr>
          <w:lang w:val="es-ES_tradnl"/>
        </w:rPr>
        <w:t>monocultiv</w:t>
      </w:r>
      <w:r w:rsidR="001C445C">
        <w:rPr>
          <w:lang w:val="es-ES_tradnl"/>
        </w:rPr>
        <w:t>os</w:t>
      </w:r>
      <w:r w:rsidR="0059763E" w:rsidRPr="0059763E">
        <w:rPr>
          <w:lang w:val="es-ES_tradnl"/>
        </w:rPr>
        <w:t xml:space="preserve"> ha aument</w:t>
      </w:r>
      <w:r w:rsidR="00854A27">
        <w:rPr>
          <w:lang w:val="es-ES_tradnl"/>
        </w:rPr>
        <w:t>ado</w:t>
      </w:r>
      <w:r w:rsidR="0059763E" w:rsidRPr="0059763E">
        <w:rPr>
          <w:lang w:val="es-ES_tradnl"/>
        </w:rPr>
        <w:t xml:space="preserve"> los problemas ambientales causados</w:t>
      </w:r>
      <w:r w:rsidR="001C445C">
        <w:rPr>
          <w:lang w:val="es-ES_tradnl"/>
        </w:rPr>
        <w:t xml:space="preserve"> por cultivos transgénicos</w:t>
      </w:r>
      <w:r w:rsidR="0059763E" w:rsidRPr="0059763E">
        <w:rPr>
          <w:lang w:val="es-ES_tradnl"/>
        </w:rPr>
        <w:t xml:space="preserve"> con productos químicos</w:t>
      </w:r>
      <w:r w:rsidR="000D12F6">
        <w:rPr>
          <w:lang w:val="es-ES_tradnl"/>
        </w:rPr>
        <w:t>.</w:t>
      </w:r>
      <w:r w:rsidR="00DE1F5D">
        <w:rPr>
          <w:lang w:val="es-ES_tradnl"/>
        </w:rPr>
        <w:t xml:space="preserve"> </w:t>
      </w:r>
      <w:r w:rsidR="000D12F6">
        <w:rPr>
          <w:lang w:val="es-ES_tradnl"/>
        </w:rPr>
        <w:t>La Relatora</w:t>
      </w:r>
      <w:r w:rsidR="00DE1F5D">
        <w:rPr>
          <w:lang w:val="es-ES_tradnl"/>
        </w:rPr>
        <w:t xml:space="preserve"> recomendó al Estado parte</w:t>
      </w:r>
      <w:r w:rsidR="00AF633F" w:rsidRPr="00AF633F">
        <w:rPr>
          <w:lang w:val="es-ES"/>
        </w:rPr>
        <w:t xml:space="preserve"> </w:t>
      </w:r>
      <w:r w:rsidR="003D23F8">
        <w:rPr>
          <w:lang w:val="es-ES_tradnl"/>
        </w:rPr>
        <w:t xml:space="preserve">la </w:t>
      </w:r>
      <w:r w:rsidR="00AF633F" w:rsidRPr="00AF633F">
        <w:rPr>
          <w:lang w:val="es-ES_tradnl"/>
        </w:rPr>
        <w:t xml:space="preserve">investigación de los </w:t>
      </w:r>
      <w:r w:rsidR="008C243A">
        <w:rPr>
          <w:lang w:val="es-ES_tradnl"/>
        </w:rPr>
        <w:t>“</w:t>
      </w:r>
      <w:r w:rsidR="00AF633F" w:rsidRPr="00AF633F">
        <w:rPr>
          <w:lang w:val="es-ES_tradnl"/>
        </w:rPr>
        <w:t xml:space="preserve">efectos de las fumigaciones con pesticidas y otros productos químicos de uso agrícola en la salud y otros derechos humanos </w:t>
      </w:r>
      <w:r w:rsidR="00AF633F">
        <w:rPr>
          <w:lang w:val="es-ES_tradnl"/>
        </w:rPr>
        <w:t>[</w:t>
      </w:r>
      <w:r w:rsidR="003D23F8">
        <w:rPr>
          <w:lang w:val="es-ES_tradnl"/>
        </w:rPr>
        <w:t>y la adopción e implementación de</w:t>
      </w:r>
      <w:r w:rsidR="00AF633F">
        <w:rPr>
          <w:lang w:val="es-ES_tradnl"/>
        </w:rPr>
        <w:t>]</w:t>
      </w:r>
      <w:r w:rsidR="00AF633F" w:rsidRPr="00AF633F">
        <w:rPr>
          <w:lang w:val="es-ES_tradnl"/>
        </w:rPr>
        <w:t xml:space="preserve"> la legislación necesaria para regular el uso de tales </w:t>
      </w:r>
      <w:r w:rsidR="00AF633F" w:rsidRPr="009E558C">
        <w:rPr>
          <w:lang w:val="es-ES_tradnl"/>
        </w:rPr>
        <w:t>productos</w:t>
      </w:r>
      <w:r w:rsidR="009E558C" w:rsidRPr="009E558C">
        <w:rPr>
          <w:lang w:val="es-ES_tradnl"/>
        </w:rPr>
        <w:t>”</w:t>
      </w:r>
      <w:r w:rsidR="001C445C" w:rsidRPr="00DE1F5D">
        <w:rPr>
          <w:rStyle w:val="FootnoteReference"/>
          <w:lang w:val="es-ES_tradnl"/>
        </w:rPr>
        <w:footnoteReference w:id="34"/>
      </w:r>
      <w:r w:rsidR="005C24A5" w:rsidRPr="009E558C">
        <w:rPr>
          <w:lang w:val="es-ES_tradnl"/>
        </w:rPr>
        <w:t>.</w:t>
      </w:r>
      <w:r w:rsidR="009E558C" w:rsidRPr="009E558C">
        <w:rPr>
          <w:lang w:val="es-ES_tradnl"/>
        </w:rPr>
        <w:t xml:space="preserve"> Los autores citan también las Observaciones Finales</w:t>
      </w:r>
      <w:r w:rsidR="009E558C" w:rsidRPr="009E558C">
        <w:rPr>
          <w:lang w:val="es-ES"/>
        </w:rPr>
        <w:t xml:space="preserve"> d</w:t>
      </w:r>
      <w:r w:rsidR="009E558C" w:rsidRPr="009E558C">
        <w:rPr>
          <w:lang w:val="es-ES_tradnl"/>
        </w:rPr>
        <w:t>el</w:t>
      </w:r>
      <w:r w:rsidR="005C24A5" w:rsidRPr="009E558C">
        <w:rPr>
          <w:lang w:val="es-ES_tradnl"/>
        </w:rPr>
        <w:t xml:space="preserve"> </w:t>
      </w:r>
      <w:r w:rsidR="005C0AF7" w:rsidRPr="009E558C">
        <w:rPr>
          <w:lang w:val="es-ES_tradnl"/>
        </w:rPr>
        <w:t xml:space="preserve">Comité de Derechos Económicos, Sociales y Culturales </w:t>
      </w:r>
      <w:r w:rsidR="009E558C" w:rsidRPr="009E558C">
        <w:rPr>
          <w:lang w:val="es-ES_tradnl"/>
        </w:rPr>
        <w:t xml:space="preserve">sobre </w:t>
      </w:r>
      <w:r w:rsidR="001B3D71">
        <w:rPr>
          <w:lang w:val="es-ES_tradnl"/>
        </w:rPr>
        <w:t>el Cuarto Informe Periódico de</w:t>
      </w:r>
      <w:r w:rsidR="005C0AF7" w:rsidRPr="009E558C">
        <w:rPr>
          <w:lang w:val="es-ES_tradnl"/>
        </w:rPr>
        <w:t xml:space="preserve"> Paraguay,</w:t>
      </w:r>
      <w:r w:rsidR="005C0AF7" w:rsidRPr="009E558C">
        <w:rPr>
          <w:lang w:val="es-ES"/>
        </w:rPr>
        <w:t xml:space="preserve"> </w:t>
      </w:r>
      <w:r w:rsidR="009E558C" w:rsidRPr="009E558C">
        <w:rPr>
          <w:lang w:val="es-ES"/>
        </w:rPr>
        <w:t xml:space="preserve">en las cuales </w:t>
      </w:r>
      <w:r w:rsidR="005C0AF7" w:rsidRPr="009E558C">
        <w:rPr>
          <w:lang w:val="es-ES_tradnl"/>
        </w:rPr>
        <w:t>reiter</w:t>
      </w:r>
      <w:r w:rsidR="009E558C" w:rsidRPr="009E558C">
        <w:rPr>
          <w:lang w:val="es-ES_tradnl"/>
        </w:rPr>
        <w:t>ó</w:t>
      </w:r>
      <w:r w:rsidR="005C0AF7" w:rsidRPr="009E558C">
        <w:rPr>
          <w:lang w:val="es-ES_tradnl"/>
        </w:rPr>
        <w:t xml:space="preserve"> su preocupación en cuanto a los efectos negativos </w:t>
      </w:r>
      <w:r w:rsidR="00735723">
        <w:rPr>
          <w:lang w:val="es-ES_tradnl"/>
        </w:rPr>
        <w:t>d</w:t>
      </w:r>
      <w:r w:rsidR="005C0AF7" w:rsidRPr="009E558C">
        <w:rPr>
          <w:lang w:val="es-ES_tradnl"/>
        </w:rPr>
        <w:t>el extenso cultivo</w:t>
      </w:r>
      <w:r w:rsidR="005C0AF7" w:rsidRPr="005C0AF7">
        <w:rPr>
          <w:lang w:val="es-ES_tradnl"/>
        </w:rPr>
        <w:t xml:space="preserve"> de soja, </w:t>
      </w:r>
      <w:r w:rsidR="00735723">
        <w:rPr>
          <w:lang w:val="es-ES_tradnl"/>
        </w:rPr>
        <w:t>e</w:t>
      </w:r>
      <w:r w:rsidR="005C0AF7" w:rsidRPr="005C0AF7">
        <w:rPr>
          <w:lang w:val="es-ES_tradnl"/>
        </w:rPr>
        <w:t>l uso indiscriminado de agro</w:t>
      </w:r>
      <w:r w:rsidR="009E558C">
        <w:rPr>
          <w:lang w:val="es-ES_tradnl"/>
        </w:rPr>
        <w:t>-</w:t>
      </w:r>
      <w:r w:rsidR="005C0AF7" w:rsidRPr="005C0AF7">
        <w:rPr>
          <w:lang w:val="es-ES_tradnl"/>
        </w:rPr>
        <w:t>tóxicos,</w:t>
      </w:r>
      <w:r w:rsidR="00735723">
        <w:rPr>
          <w:lang w:val="es-ES_tradnl"/>
        </w:rPr>
        <w:t xml:space="preserve"> </w:t>
      </w:r>
      <w:r w:rsidR="005C0AF7" w:rsidRPr="005C0AF7">
        <w:rPr>
          <w:lang w:val="es-ES_tradnl"/>
        </w:rPr>
        <w:t>la contaminación del agua y</w:t>
      </w:r>
      <w:r w:rsidR="00735723">
        <w:rPr>
          <w:lang w:val="es-ES_tradnl"/>
        </w:rPr>
        <w:t xml:space="preserve"> </w:t>
      </w:r>
      <w:r w:rsidR="005C0AF7" w:rsidRPr="005C0AF7">
        <w:rPr>
          <w:lang w:val="es-ES_tradnl"/>
        </w:rPr>
        <w:t>la inse</w:t>
      </w:r>
      <w:r w:rsidR="005C0AF7">
        <w:rPr>
          <w:lang w:val="es-ES_tradnl"/>
        </w:rPr>
        <w:t>guridad alimentaria</w:t>
      </w:r>
      <w:r w:rsidR="00B345A4">
        <w:rPr>
          <w:lang w:val="es-ES_tradnl"/>
        </w:rPr>
        <w:t>. El Comité</w:t>
      </w:r>
      <w:r w:rsidR="00594C1E">
        <w:rPr>
          <w:lang w:val="es-ES_tradnl"/>
        </w:rPr>
        <w:t xml:space="preserve"> </w:t>
      </w:r>
      <w:r w:rsidR="009E558C">
        <w:rPr>
          <w:lang w:val="es-ES_tradnl"/>
        </w:rPr>
        <w:t>urgió</w:t>
      </w:r>
      <w:r w:rsidR="00594C1E" w:rsidRPr="00594C1E">
        <w:rPr>
          <w:lang w:val="es-ES_tradnl"/>
        </w:rPr>
        <w:t xml:space="preserve"> </w:t>
      </w:r>
      <w:r w:rsidR="00594C1E">
        <w:rPr>
          <w:lang w:val="es-ES_tradnl"/>
        </w:rPr>
        <w:t>al Estado a tom</w:t>
      </w:r>
      <w:r w:rsidR="007625C5">
        <w:rPr>
          <w:lang w:val="es-ES_tradnl"/>
        </w:rPr>
        <w:t>ar</w:t>
      </w:r>
      <w:r w:rsidR="00594C1E">
        <w:rPr>
          <w:lang w:val="es-ES_tradnl"/>
        </w:rPr>
        <w:t xml:space="preserve"> </w:t>
      </w:r>
      <w:r w:rsidR="007625C5">
        <w:rPr>
          <w:lang w:val="es-ES_tradnl"/>
        </w:rPr>
        <w:t>“</w:t>
      </w:r>
      <w:r w:rsidR="00594C1E">
        <w:rPr>
          <w:lang w:val="es-ES_tradnl"/>
        </w:rPr>
        <w:t xml:space="preserve">las </w:t>
      </w:r>
      <w:r w:rsidR="00594C1E" w:rsidRPr="00594C1E">
        <w:rPr>
          <w:lang w:val="es-ES_tradnl"/>
        </w:rPr>
        <w:t>medidas necesarias para controlar el cultivo de soja a fin de que éste no traig</w:t>
      </w:r>
      <w:r w:rsidR="00594C1E">
        <w:rPr>
          <w:lang w:val="es-ES_tradnl"/>
        </w:rPr>
        <w:t xml:space="preserve">a aparejado un detrimento en el </w:t>
      </w:r>
      <w:r w:rsidR="00594C1E" w:rsidRPr="00594C1E">
        <w:rPr>
          <w:lang w:val="es-ES_tradnl"/>
        </w:rPr>
        <w:t>disfrute de los derechos económicos sociales y culturales, particularmente el derec</w:t>
      </w:r>
      <w:r w:rsidR="00594C1E">
        <w:rPr>
          <w:lang w:val="es-ES_tradnl"/>
        </w:rPr>
        <w:t xml:space="preserve">ho a un nivel de vida adecuado, </w:t>
      </w:r>
      <w:r w:rsidR="00594C1E" w:rsidRPr="00594C1E">
        <w:rPr>
          <w:lang w:val="es-ES_tradnl"/>
        </w:rPr>
        <w:t>a la alimentación y al agua, y a la salud</w:t>
      </w:r>
      <w:r w:rsidR="009E558C">
        <w:rPr>
          <w:lang w:val="es-ES_tradnl"/>
        </w:rPr>
        <w:t>”</w:t>
      </w:r>
      <w:r w:rsidR="009E558C">
        <w:rPr>
          <w:rStyle w:val="FootnoteReference"/>
          <w:lang w:val="es-ES_tradnl"/>
        </w:rPr>
        <w:footnoteReference w:id="35"/>
      </w:r>
      <w:r w:rsidR="00594C1E" w:rsidRPr="00594C1E">
        <w:rPr>
          <w:lang w:val="es-ES_tradnl"/>
        </w:rPr>
        <w:t>.</w:t>
      </w:r>
      <w:r w:rsidR="00334611">
        <w:rPr>
          <w:lang w:val="es-ES_tradnl"/>
        </w:rPr>
        <w:t xml:space="preserve"> </w:t>
      </w:r>
      <w:r w:rsidR="007625C5">
        <w:rPr>
          <w:lang w:val="es-ES_tradnl"/>
        </w:rPr>
        <w:t>L</w:t>
      </w:r>
      <w:r w:rsidR="00334611">
        <w:rPr>
          <w:lang w:val="es-ES_tradnl"/>
        </w:rPr>
        <w:t xml:space="preserve">os autores también </w:t>
      </w:r>
      <w:r w:rsidR="007625C5">
        <w:rPr>
          <w:lang w:val="es-ES_tradnl"/>
        </w:rPr>
        <w:t>aportaron</w:t>
      </w:r>
      <w:r w:rsidR="005F6D4D">
        <w:rPr>
          <w:lang w:val="es-ES_tradnl"/>
        </w:rPr>
        <w:t xml:space="preserve"> ejemplo</w:t>
      </w:r>
      <w:r w:rsidR="00B345A4">
        <w:rPr>
          <w:lang w:val="es-ES_tradnl"/>
        </w:rPr>
        <w:t>s</w:t>
      </w:r>
      <w:r w:rsidR="005F6D4D">
        <w:rPr>
          <w:lang w:val="es-ES_tradnl"/>
        </w:rPr>
        <w:t xml:space="preserve"> de</w:t>
      </w:r>
      <w:r w:rsidR="00334611">
        <w:rPr>
          <w:lang w:val="es-ES_tradnl"/>
        </w:rPr>
        <w:t xml:space="preserve"> </w:t>
      </w:r>
      <w:r w:rsidR="005F6D4D">
        <w:rPr>
          <w:lang w:val="es-ES_tradnl"/>
        </w:rPr>
        <w:t xml:space="preserve">personas que fallecieron a consecuencia de intoxicaciones por agro-tóxicos. </w:t>
      </w:r>
      <w:r w:rsidR="00B345A4">
        <w:rPr>
          <w:lang w:val="es-ES_tradnl"/>
        </w:rPr>
        <w:t xml:space="preserve">Evangelista </w:t>
      </w:r>
      <w:proofErr w:type="spellStart"/>
      <w:r w:rsidR="00B345A4">
        <w:rPr>
          <w:lang w:val="es-ES_tradnl"/>
        </w:rPr>
        <w:t>Peralgo</w:t>
      </w:r>
      <w:proofErr w:type="spellEnd"/>
      <w:r w:rsidR="00B345A4">
        <w:rPr>
          <w:lang w:val="es-ES_tradnl"/>
        </w:rPr>
        <w:t xml:space="preserve">, de 28 años, </w:t>
      </w:r>
      <w:r w:rsidR="00D148B6">
        <w:rPr>
          <w:lang w:val="es-ES_tradnl"/>
        </w:rPr>
        <w:t xml:space="preserve">quien </w:t>
      </w:r>
      <w:r w:rsidR="00B345A4">
        <w:rPr>
          <w:lang w:val="es-ES_tradnl"/>
        </w:rPr>
        <w:t>vivía en el pueblo indígena</w:t>
      </w:r>
      <w:r w:rsidR="00B345A4" w:rsidRPr="00594C1E">
        <w:rPr>
          <w:lang w:val="es-ES_tradnl"/>
        </w:rPr>
        <w:t xml:space="preserve"> </w:t>
      </w:r>
      <w:r w:rsidR="00B345A4">
        <w:rPr>
          <w:lang w:val="es-ES_tradnl"/>
        </w:rPr>
        <w:t xml:space="preserve">Campo </w:t>
      </w:r>
      <w:proofErr w:type="spellStart"/>
      <w:r w:rsidR="00B345A4">
        <w:rPr>
          <w:lang w:val="es-ES_tradnl"/>
        </w:rPr>
        <w:t>Agua’e</w:t>
      </w:r>
      <w:proofErr w:type="spellEnd"/>
      <w:r w:rsidR="00B345A4">
        <w:rPr>
          <w:lang w:val="es-ES_tradnl"/>
        </w:rPr>
        <w:t xml:space="preserve"> (ubicad</w:t>
      </w:r>
      <w:r w:rsidR="008279CF">
        <w:rPr>
          <w:lang w:val="es-ES_tradnl"/>
        </w:rPr>
        <w:t>o</w:t>
      </w:r>
      <w:r w:rsidR="00B345A4">
        <w:rPr>
          <w:lang w:val="es-ES_tradnl"/>
        </w:rPr>
        <w:t xml:space="preserve"> del otro lado de la ruta a la misma altura del lugar donde se ingresa a la Colonia Yerutí)</w:t>
      </w:r>
      <w:r w:rsidR="00D148B6">
        <w:rPr>
          <w:lang w:val="es-ES_tradnl"/>
        </w:rPr>
        <w:t>,</w:t>
      </w:r>
      <w:r w:rsidR="00B345A4">
        <w:rPr>
          <w:lang w:val="es-ES_tradnl"/>
        </w:rPr>
        <w:t xml:space="preserve"> tuvo que ser ingresada en el hospital vomitando sangre y</w:t>
      </w:r>
      <w:r w:rsidR="005F6D4D">
        <w:rPr>
          <w:lang w:val="es-ES_tradnl"/>
        </w:rPr>
        <w:t xml:space="preserve"> falleció</w:t>
      </w:r>
      <w:r w:rsidR="00B345A4">
        <w:rPr>
          <w:lang w:val="es-ES_tradnl"/>
        </w:rPr>
        <w:t xml:space="preserve">. </w:t>
      </w:r>
      <w:r w:rsidR="00F46DF5">
        <w:rPr>
          <w:lang w:val="es-ES_tradnl"/>
        </w:rPr>
        <w:t>E</w:t>
      </w:r>
      <w:r w:rsidR="00F46DF5" w:rsidRPr="00334611">
        <w:rPr>
          <w:lang w:val="es-ES_tradnl"/>
        </w:rPr>
        <w:t>l 7 de enero de 2003</w:t>
      </w:r>
      <w:r w:rsidR="00F46DF5">
        <w:rPr>
          <w:lang w:val="es-ES_tradnl"/>
        </w:rPr>
        <w:t>, e</w:t>
      </w:r>
      <w:r w:rsidR="005F6D4D">
        <w:rPr>
          <w:lang w:val="es-ES_tradnl"/>
        </w:rPr>
        <w:t xml:space="preserve">l </w:t>
      </w:r>
      <w:r w:rsidR="005C24A5" w:rsidRPr="00334611">
        <w:rPr>
          <w:lang w:val="es-ES_tradnl"/>
        </w:rPr>
        <w:t>niño Silvino Talavera</w:t>
      </w:r>
      <w:r w:rsidR="00F46DF5">
        <w:rPr>
          <w:lang w:val="es-ES_tradnl"/>
        </w:rPr>
        <w:t>,</w:t>
      </w:r>
      <w:r w:rsidR="005C24A5" w:rsidRPr="00334611">
        <w:rPr>
          <w:lang w:val="es-ES_tradnl"/>
        </w:rPr>
        <w:t xml:space="preserve"> </w:t>
      </w:r>
      <w:r w:rsidR="00F46DF5">
        <w:rPr>
          <w:lang w:val="es-ES_tradnl"/>
        </w:rPr>
        <w:t>de</w:t>
      </w:r>
      <w:r w:rsidR="00F46DF5" w:rsidRPr="00334611">
        <w:rPr>
          <w:lang w:val="es-ES_tradnl"/>
        </w:rPr>
        <w:t xml:space="preserve"> 11 años</w:t>
      </w:r>
      <w:r w:rsidR="00F46DF5">
        <w:rPr>
          <w:lang w:val="es-ES_tradnl"/>
        </w:rPr>
        <w:t xml:space="preserve">, también </w:t>
      </w:r>
      <w:r w:rsidR="005C24A5" w:rsidRPr="00334611">
        <w:rPr>
          <w:lang w:val="es-ES_tradnl"/>
        </w:rPr>
        <w:t xml:space="preserve">falleció </w:t>
      </w:r>
      <w:r w:rsidR="00D148B6">
        <w:rPr>
          <w:lang w:val="es-ES_tradnl"/>
        </w:rPr>
        <w:t>al haber sido</w:t>
      </w:r>
      <w:r w:rsidR="00D148B6" w:rsidRPr="00350104">
        <w:rPr>
          <w:lang w:val="es-ES_tradnl"/>
        </w:rPr>
        <w:t xml:space="preserve"> rociado </w:t>
      </w:r>
      <w:r w:rsidR="005C24A5" w:rsidRPr="00350104">
        <w:rPr>
          <w:lang w:val="es-ES_tradnl"/>
        </w:rPr>
        <w:t>con agro</w:t>
      </w:r>
      <w:r w:rsidR="00334611">
        <w:rPr>
          <w:lang w:val="es-ES_tradnl"/>
        </w:rPr>
        <w:t>-</w:t>
      </w:r>
      <w:r w:rsidR="005C24A5" w:rsidRPr="00350104">
        <w:rPr>
          <w:lang w:val="es-ES_tradnl"/>
        </w:rPr>
        <w:t>tóxicos</w:t>
      </w:r>
      <w:r w:rsidR="0059265F">
        <w:rPr>
          <w:lang w:val="es-ES_tradnl"/>
        </w:rPr>
        <w:t xml:space="preserve"> </w:t>
      </w:r>
      <w:r w:rsidR="00334611">
        <w:rPr>
          <w:lang w:val="es-ES_tradnl"/>
        </w:rPr>
        <w:t xml:space="preserve">en el </w:t>
      </w:r>
      <w:r w:rsidR="005C24A5" w:rsidRPr="00350104">
        <w:rPr>
          <w:lang w:val="es-ES_tradnl"/>
        </w:rPr>
        <w:t>Departamento de Itapúa</w:t>
      </w:r>
      <w:r w:rsidR="008279CF">
        <w:rPr>
          <w:lang w:val="es-ES_tradnl"/>
        </w:rPr>
        <w:t>,</w:t>
      </w:r>
      <w:r w:rsidR="00334611">
        <w:rPr>
          <w:lang w:val="es-ES_tradnl"/>
        </w:rPr>
        <w:t xml:space="preserve"> </w:t>
      </w:r>
      <w:r w:rsidR="005C24A5" w:rsidRPr="00350104">
        <w:rPr>
          <w:lang w:val="es-ES_tradnl"/>
        </w:rPr>
        <w:t xml:space="preserve">cuando transitaba en su bicicleta por un camino vecinal </w:t>
      </w:r>
      <w:r w:rsidR="00D148B6">
        <w:rPr>
          <w:lang w:val="es-ES_tradnl"/>
        </w:rPr>
        <w:t>co</w:t>
      </w:r>
      <w:r w:rsidR="005C24A5" w:rsidRPr="00350104">
        <w:rPr>
          <w:lang w:val="es-ES_tradnl"/>
        </w:rPr>
        <w:t>lindante con plantaciones</w:t>
      </w:r>
      <w:r w:rsidR="005C24A5">
        <w:rPr>
          <w:lang w:val="es-ES_tradnl"/>
        </w:rPr>
        <w:t>.</w:t>
      </w:r>
      <w:r w:rsidR="005C24A5">
        <w:rPr>
          <w:rStyle w:val="FootnoteReference"/>
          <w:lang w:val="es-ES_tradnl"/>
        </w:rPr>
        <w:footnoteReference w:id="36"/>
      </w:r>
      <w:r w:rsidR="005C24A5" w:rsidRPr="005C24A5">
        <w:rPr>
          <w:lang w:val="es-ES"/>
        </w:rPr>
        <w:t xml:space="preserve"> </w:t>
      </w:r>
      <w:r w:rsidR="004637E0">
        <w:rPr>
          <w:lang w:val="es-ES_tradnl"/>
        </w:rPr>
        <w:t>Los autores t</w:t>
      </w:r>
      <w:r w:rsidR="005C24A5" w:rsidRPr="005C24A5">
        <w:rPr>
          <w:lang w:val="es-ES_tradnl"/>
        </w:rPr>
        <w:t xml:space="preserve">ambién </w:t>
      </w:r>
      <w:r w:rsidR="00E04536">
        <w:rPr>
          <w:lang w:val="es-ES_tradnl"/>
        </w:rPr>
        <w:t xml:space="preserve">indican que </w:t>
      </w:r>
      <w:r w:rsidR="00B76118">
        <w:rPr>
          <w:lang w:val="es-ES_tradnl"/>
        </w:rPr>
        <w:t>dos</w:t>
      </w:r>
      <w:r w:rsidR="00B76118" w:rsidRPr="005C24A5">
        <w:rPr>
          <w:lang w:val="es-ES_tradnl"/>
        </w:rPr>
        <w:t xml:space="preserve"> </w:t>
      </w:r>
      <w:r w:rsidR="00B76118" w:rsidRPr="00E04536">
        <w:rPr>
          <w:lang w:val="es-ES_tradnl"/>
        </w:rPr>
        <w:t>hermana</w:t>
      </w:r>
      <w:r w:rsidR="00B76118">
        <w:rPr>
          <w:lang w:val="es-ES_tradnl"/>
        </w:rPr>
        <w:t xml:space="preserve">s </w:t>
      </w:r>
      <w:r w:rsidR="005C24A5" w:rsidRPr="005C24A5">
        <w:rPr>
          <w:lang w:val="es-ES_tradnl"/>
        </w:rPr>
        <w:t xml:space="preserve">han muerto </w:t>
      </w:r>
      <w:r w:rsidR="00E04536" w:rsidRPr="005C24A5">
        <w:rPr>
          <w:lang w:val="es-ES_tradnl"/>
        </w:rPr>
        <w:t>en 2014</w:t>
      </w:r>
      <w:r w:rsidR="00E04536">
        <w:rPr>
          <w:lang w:val="es-ES_tradnl"/>
        </w:rPr>
        <w:t xml:space="preserve"> </w:t>
      </w:r>
      <w:r w:rsidR="005C24A5" w:rsidRPr="005C24A5">
        <w:rPr>
          <w:lang w:val="es-ES_tradnl"/>
        </w:rPr>
        <w:t>luego de la fumigación del campo vecino a su vivienda</w:t>
      </w:r>
      <w:r w:rsidR="004637E0">
        <w:rPr>
          <w:lang w:val="es-ES_tradnl"/>
        </w:rPr>
        <w:t>,</w:t>
      </w:r>
      <w:r w:rsidR="00E04536">
        <w:rPr>
          <w:lang w:val="es-ES_tradnl"/>
        </w:rPr>
        <w:t xml:space="preserve"> y que </w:t>
      </w:r>
      <w:r w:rsidR="00E04536" w:rsidRPr="005C24A5">
        <w:rPr>
          <w:lang w:val="es-ES_tradnl"/>
        </w:rPr>
        <w:t xml:space="preserve">18 adultos </w:t>
      </w:r>
      <w:r w:rsidR="004637E0">
        <w:rPr>
          <w:lang w:val="es-ES_tradnl"/>
        </w:rPr>
        <w:t>de</w:t>
      </w:r>
      <w:r w:rsidR="004637E0" w:rsidRPr="005C24A5">
        <w:rPr>
          <w:lang w:val="es-ES_tradnl"/>
        </w:rPr>
        <w:t xml:space="preserve"> su comunidad </w:t>
      </w:r>
      <w:r w:rsidR="005C24A5" w:rsidRPr="005C24A5">
        <w:rPr>
          <w:lang w:val="es-ES_tradnl"/>
        </w:rPr>
        <w:t>enfermaron.</w:t>
      </w:r>
      <w:r w:rsidR="005C24A5">
        <w:rPr>
          <w:rStyle w:val="FootnoteReference"/>
          <w:lang w:val="es-ES_tradnl"/>
        </w:rPr>
        <w:footnoteReference w:id="37"/>
      </w:r>
      <w:r w:rsidR="004104B0" w:rsidRPr="004104B0">
        <w:rPr>
          <w:lang w:val="es-ES"/>
        </w:rPr>
        <w:t xml:space="preserve"> </w:t>
      </w:r>
      <w:r w:rsidR="00492A2E">
        <w:rPr>
          <w:lang w:val="es-ES"/>
        </w:rPr>
        <w:t>L</w:t>
      </w:r>
      <w:r w:rsidR="00E04536">
        <w:rPr>
          <w:lang w:val="es-ES"/>
        </w:rPr>
        <w:t xml:space="preserve">os autores recuerdan también que en </w:t>
      </w:r>
      <w:r w:rsidR="00E04536">
        <w:rPr>
          <w:lang w:val="es-ES_tradnl"/>
        </w:rPr>
        <w:t>a</w:t>
      </w:r>
      <w:r w:rsidR="004104B0" w:rsidRPr="004104B0">
        <w:rPr>
          <w:lang w:val="es-ES_tradnl"/>
        </w:rPr>
        <w:t>gosto de 2017</w:t>
      </w:r>
      <w:r w:rsidR="00E04536">
        <w:rPr>
          <w:lang w:val="es-ES_tradnl"/>
        </w:rPr>
        <w:t xml:space="preserve"> </w:t>
      </w:r>
      <w:r w:rsidR="004A4773">
        <w:rPr>
          <w:lang w:val="es-ES_tradnl"/>
        </w:rPr>
        <w:t xml:space="preserve">otra </w:t>
      </w:r>
      <w:r w:rsidR="00E04536">
        <w:rPr>
          <w:lang w:val="es-ES_tradnl"/>
        </w:rPr>
        <w:t>c</w:t>
      </w:r>
      <w:r w:rsidR="004104B0" w:rsidRPr="004104B0">
        <w:rPr>
          <w:lang w:val="es-ES_tradnl"/>
        </w:rPr>
        <w:t xml:space="preserve">omunidad indígena </w:t>
      </w:r>
      <w:r w:rsidR="00E04536" w:rsidRPr="004104B0">
        <w:rPr>
          <w:lang w:val="es-ES_tradnl"/>
        </w:rPr>
        <w:t xml:space="preserve">en Curuguaty </w:t>
      </w:r>
      <w:r w:rsidR="00E04536">
        <w:rPr>
          <w:lang w:val="es-ES_tradnl"/>
        </w:rPr>
        <w:t xml:space="preserve">estuvo </w:t>
      </w:r>
      <w:r w:rsidR="004104B0" w:rsidRPr="004104B0">
        <w:rPr>
          <w:lang w:val="es-ES_tradnl"/>
        </w:rPr>
        <w:t>afectada por fumigación.</w:t>
      </w:r>
      <w:r w:rsidR="004104B0">
        <w:rPr>
          <w:rStyle w:val="FootnoteReference"/>
          <w:lang w:val="es-ES_tradnl"/>
        </w:rPr>
        <w:footnoteReference w:id="38"/>
      </w:r>
    </w:p>
    <w:p w:rsidR="00096620" w:rsidRDefault="00FB3EDD" w:rsidP="00BC5C37">
      <w:pPr>
        <w:pStyle w:val="SingleTxtG"/>
        <w:rPr>
          <w:lang w:val="es-ES_tradnl"/>
        </w:rPr>
      </w:pPr>
      <w:r>
        <w:rPr>
          <w:lang w:val="es-ES_tradnl"/>
        </w:rPr>
        <w:lastRenderedPageBreak/>
        <w:t>5.</w:t>
      </w:r>
      <w:r w:rsidR="00CC6EAA">
        <w:rPr>
          <w:lang w:val="es-ES_tradnl"/>
        </w:rPr>
        <w:t>10</w:t>
      </w:r>
      <w:r>
        <w:rPr>
          <w:lang w:val="es-ES_tradnl"/>
        </w:rPr>
        <w:tab/>
      </w:r>
      <w:r w:rsidR="006A1FB7">
        <w:rPr>
          <w:lang w:val="es-ES_tradnl"/>
        </w:rPr>
        <w:t xml:space="preserve">Finalmente, en cuanto a la violación del artículo 2 (3) </w:t>
      </w:r>
      <w:r w:rsidR="00EF30A8">
        <w:rPr>
          <w:lang w:val="es-ES_tradnl"/>
        </w:rPr>
        <w:t xml:space="preserve">del Pacto, leído </w:t>
      </w:r>
      <w:r w:rsidR="00BC5C37">
        <w:rPr>
          <w:lang w:val="es-ES_tradnl"/>
        </w:rPr>
        <w:t>conjunt</w:t>
      </w:r>
      <w:r w:rsidR="00EF30A8">
        <w:rPr>
          <w:lang w:val="es-ES_tradnl"/>
        </w:rPr>
        <w:t>amente</w:t>
      </w:r>
      <w:r w:rsidR="006A1FB7">
        <w:rPr>
          <w:lang w:val="es-ES_tradnl"/>
        </w:rPr>
        <w:t xml:space="preserve"> con</w:t>
      </w:r>
      <w:r w:rsidR="00E1677F" w:rsidRPr="006A3C7E">
        <w:rPr>
          <w:lang w:val="es-ES_tradnl"/>
        </w:rPr>
        <w:t xml:space="preserve"> los artículos 6, 7</w:t>
      </w:r>
      <w:r w:rsidR="006A1FB7">
        <w:rPr>
          <w:lang w:val="es-ES_tradnl"/>
        </w:rPr>
        <w:t xml:space="preserve"> y</w:t>
      </w:r>
      <w:r w:rsidR="00E1677F" w:rsidRPr="006A3C7E">
        <w:rPr>
          <w:lang w:val="es-ES_tradnl"/>
        </w:rPr>
        <w:t xml:space="preserve"> 17,</w:t>
      </w:r>
      <w:r w:rsidR="006A1FB7">
        <w:rPr>
          <w:lang w:val="es-ES_tradnl"/>
        </w:rPr>
        <w:t xml:space="preserve"> los autores </w:t>
      </w:r>
      <w:r w:rsidR="00BC5C37">
        <w:rPr>
          <w:lang w:val="es-ES_tradnl"/>
        </w:rPr>
        <w:t>sostienen que</w:t>
      </w:r>
      <w:r w:rsidR="008833E0">
        <w:rPr>
          <w:lang w:val="es-ES_tradnl"/>
        </w:rPr>
        <w:t>:</w:t>
      </w:r>
      <w:r w:rsidR="00BC5C37">
        <w:rPr>
          <w:lang w:val="es-ES_tradnl"/>
        </w:rPr>
        <w:t xml:space="preserve"> a)</w:t>
      </w:r>
      <w:r w:rsidR="003D23F1" w:rsidRPr="008A2C4E">
        <w:rPr>
          <w:lang w:val="es-ES_tradnl"/>
        </w:rPr>
        <w:t xml:space="preserve"> </w:t>
      </w:r>
      <w:r w:rsidR="00D965A5">
        <w:rPr>
          <w:lang w:val="es-ES_tradnl"/>
        </w:rPr>
        <w:t>n</w:t>
      </w:r>
      <w:r w:rsidR="003D23F1" w:rsidRPr="008A2C4E">
        <w:rPr>
          <w:lang w:val="es-ES_tradnl"/>
        </w:rPr>
        <w:t>unca se efectuó la autopsia de</w:t>
      </w:r>
      <w:r w:rsidR="00D965A5">
        <w:rPr>
          <w:lang w:val="es-ES_tradnl"/>
        </w:rPr>
        <w:t>l Sr.</w:t>
      </w:r>
      <w:r w:rsidR="003D23F1" w:rsidRPr="008A2C4E">
        <w:rPr>
          <w:lang w:val="es-ES_tradnl"/>
        </w:rPr>
        <w:t xml:space="preserve"> Portillo Cáceres</w:t>
      </w:r>
      <w:r w:rsidR="003D23F1">
        <w:rPr>
          <w:lang w:val="es-ES_tradnl"/>
        </w:rPr>
        <w:t xml:space="preserve">; </w:t>
      </w:r>
      <w:r w:rsidR="003D23F1" w:rsidRPr="008A2C4E">
        <w:rPr>
          <w:lang w:val="es-ES_tradnl"/>
        </w:rPr>
        <w:t xml:space="preserve">b) </w:t>
      </w:r>
      <w:r w:rsidR="008833E0">
        <w:rPr>
          <w:lang w:val="es-ES_tradnl"/>
        </w:rPr>
        <w:t>los dueños de las empresas colindantes que cometieron</w:t>
      </w:r>
      <w:r w:rsidR="001A2535" w:rsidRPr="001A2535">
        <w:rPr>
          <w:lang w:val="es-ES_tradnl"/>
        </w:rPr>
        <w:t xml:space="preserve"> violaciones constatadas en el ámbito administrativo no fueron investigados en el ámbito penal</w:t>
      </w:r>
      <w:r w:rsidR="001A2535">
        <w:rPr>
          <w:lang w:val="es-ES_tradnl"/>
        </w:rPr>
        <w:t>;</w:t>
      </w:r>
      <w:r w:rsidR="001A2535" w:rsidRPr="001A2535">
        <w:rPr>
          <w:lang w:val="es-ES_tradnl"/>
        </w:rPr>
        <w:t xml:space="preserve"> </w:t>
      </w:r>
      <w:r w:rsidR="001A2535">
        <w:rPr>
          <w:lang w:val="es-ES_tradnl"/>
        </w:rPr>
        <w:t xml:space="preserve">c) </w:t>
      </w:r>
      <w:r w:rsidR="007507E7">
        <w:rPr>
          <w:lang w:val="es-ES_tradnl"/>
        </w:rPr>
        <w:t>ninguno de los recursos ha logrado subsanar la ausencia de barreras vivas</w:t>
      </w:r>
      <w:r w:rsidR="00FA1E3E">
        <w:rPr>
          <w:lang w:val="es-ES_tradnl"/>
        </w:rPr>
        <w:t xml:space="preserve"> en las fumigaciones que continúan</w:t>
      </w:r>
      <w:r w:rsidR="007507E7">
        <w:rPr>
          <w:lang w:val="es-ES_tradnl"/>
        </w:rPr>
        <w:t>, ni establecer medidas específicas de limpieza y depuración de los cauces hídricos;</w:t>
      </w:r>
      <w:r w:rsidR="001A2535">
        <w:rPr>
          <w:lang w:val="es-ES_tradnl"/>
        </w:rPr>
        <w:t xml:space="preserve"> d</w:t>
      </w:r>
      <w:r w:rsidR="007507E7">
        <w:rPr>
          <w:lang w:val="es-ES_tradnl"/>
        </w:rPr>
        <w:t>) no</w:t>
      </w:r>
      <w:r w:rsidR="00096620" w:rsidRPr="008C7A92">
        <w:rPr>
          <w:lang w:val="es-ES_tradnl"/>
        </w:rPr>
        <w:t xml:space="preserve"> han </w:t>
      </w:r>
      <w:r w:rsidR="007507E7">
        <w:rPr>
          <w:lang w:val="es-ES_tradnl"/>
        </w:rPr>
        <w:t>recibido reparación por</w:t>
      </w:r>
      <w:r w:rsidR="00096620" w:rsidRPr="008C7A92">
        <w:rPr>
          <w:lang w:val="es-ES_tradnl"/>
        </w:rPr>
        <w:t xml:space="preserve"> los daños que </w:t>
      </w:r>
      <w:r w:rsidR="007507E7">
        <w:rPr>
          <w:lang w:val="es-ES_tradnl"/>
        </w:rPr>
        <w:t>las</w:t>
      </w:r>
      <w:r w:rsidR="00096620" w:rsidRPr="008C7A92">
        <w:rPr>
          <w:lang w:val="es-ES_tradnl"/>
        </w:rPr>
        <w:t xml:space="preserve"> violaciones continúan </w:t>
      </w:r>
      <w:r w:rsidR="007507E7" w:rsidRPr="008C7A92">
        <w:rPr>
          <w:lang w:val="es-ES_tradnl"/>
        </w:rPr>
        <w:t>ocasionándo</w:t>
      </w:r>
      <w:r w:rsidR="007507E7">
        <w:rPr>
          <w:lang w:val="es-ES_tradnl"/>
        </w:rPr>
        <w:t>les</w:t>
      </w:r>
      <w:r w:rsidR="00096620" w:rsidRPr="008C7A92">
        <w:rPr>
          <w:lang w:val="es-ES_tradnl"/>
        </w:rPr>
        <w:t xml:space="preserve">. </w:t>
      </w:r>
    </w:p>
    <w:p w:rsidR="0059040B" w:rsidRPr="0059040B" w:rsidRDefault="00DE7918" w:rsidP="00DE7918">
      <w:pPr>
        <w:pStyle w:val="H23G"/>
        <w:rPr>
          <w:lang w:val="es-ES_tradnl" w:eastAsia="es-ES"/>
        </w:rPr>
      </w:pPr>
      <w:r>
        <w:rPr>
          <w:lang w:val="es-ES_tradnl" w:eastAsia="es-ES"/>
        </w:rPr>
        <w:tab/>
      </w:r>
      <w:r>
        <w:rPr>
          <w:lang w:val="es-ES_tradnl" w:eastAsia="es-ES"/>
        </w:rPr>
        <w:tab/>
      </w:r>
      <w:r w:rsidR="0059040B" w:rsidRPr="0059040B">
        <w:rPr>
          <w:lang w:val="es-ES_tradnl" w:eastAsia="es-ES"/>
        </w:rPr>
        <w:t>Deliberaciones del Comité</w:t>
      </w:r>
    </w:p>
    <w:p w:rsidR="0059040B" w:rsidRPr="00CF443F" w:rsidRDefault="00DE7918" w:rsidP="00DE7918">
      <w:pPr>
        <w:pStyle w:val="H4G"/>
        <w:rPr>
          <w:lang w:val="es-ES_tradnl" w:eastAsia="es-ES"/>
        </w:rPr>
      </w:pPr>
      <w:r>
        <w:rPr>
          <w:lang w:val="es-ES_tradnl" w:eastAsia="es-ES"/>
        </w:rPr>
        <w:tab/>
      </w:r>
      <w:r>
        <w:rPr>
          <w:lang w:val="es-ES_tradnl" w:eastAsia="es-ES"/>
        </w:rPr>
        <w:tab/>
      </w:r>
      <w:r w:rsidR="00CF443F" w:rsidRPr="00CF443F">
        <w:rPr>
          <w:lang w:val="es-ES_tradnl" w:eastAsia="es-ES"/>
        </w:rPr>
        <w:t xml:space="preserve">Examen de la admisibilidad </w:t>
      </w:r>
    </w:p>
    <w:p w:rsidR="00CF443F" w:rsidRPr="00F31F05" w:rsidRDefault="00F31F05" w:rsidP="00AA4464">
      <w:pPr>
        <w:pStyle w:val="SingleTxtG"/>
        <w:rPr>
          <w:lang w:val="es-ES_tradnl" w:eastAsia="es-ES"/>
        </w:rPr>
      </w:pPr>
      <w:r>
        <w:rPr>
          <w:lang w:val="es-ES_tradnl" w:eastAsia="es-ES"/>
        </w:rPr>
        <w:t>6</w:t>
      </w:r>
      <w:r w:rsidR="00266DA4" w:rsidRPr="00F31F05">
        <w:rPr>
          <w:lang w:val="es-ES_tradnl" w:eastAsia="es-ES"/>
        </w:rPr>
        <w:t>.1</w:t>
      </w:r>
      <w:r w:rsidR="00266DA4" w:rsidRPr="00F31F05">
        <w:rPr>
          <w:lang w:val="es-ES_tradnl" w:eastAsia="es-ES"/>
        </w:rPr>
        <w:tab/>
        <w:t>Antes de examinar toda reclamación formulada en una comunicación, el Comité de Derechos Humanos debe decidir, d</w:t>
      </w:r>
      <w:r w:rsidR="00101A08" w:rsidRPr="00F31F05">
        <w:rPr>
          <w:lang w:val="es-ES_tradnl" w:eastAsia="es-ES"/>
        </w:rPr>
        <w:t>e conformidad con el artículo 97</w:t>
      </w:r>
      <w:r w:rsidR="00266DA4" w:rsidRPr="00F31F05">
        <w:rPr>
          <w:lang w:val="es-ES_tradnl" w:eastAsia="es-ES"/>
        </w:rPr>
        <w:t xml:space="preserve"> de su reglamento, si dicha comunicación es o no admisible en virtud del Protocolo Facultativo del Pacto.</w:t>
      </w:r>
    </w:p>
    <w:p w:rsidR="00674787" w:rsidRPr="00F31F05" w:rsidRDefault="00F31F05" w:rsidP="00AA4464">
      <w:pPr>
        <w:pStyle w:val="SingleTxtG"/>
        <w:rPr>
          <w:lang w:val="es-ES_tradnl" w:eastAsia="es-ES"/>
        </w:rPr>
      </w:pPr>
      <w:r>
        <w:rPr>
          <w:lang w:val="es-ES_tradnl" w:eastAsia="es-ES"/>
        </w:rPr>
        <w:t>6</w:t>
      </w:r>
      <w:r w:rsidR="00674787" w:rsidRPr="00F31F05">
        <w:rPr>
          <w:lang w:val="es-ES_tradnl" w:eastAsia="es-ES"/>
        </w:rPr>
        <w:t>.2</w:t>
      </w:r>
      <w:r w:rsidR="00674787" w:rsidRPr="00F31F05">
        <w:rPr>
          <w:lang w:val="es-ES_tradnl" w:eastAsia="es-ES"/>
        </w:rPr>
        <w:tab/>
      </w:r>
      <w:r w:rsidR="000F4FDA" w:rsidRPr="00F31F05">
        <w:rPr>
          <w:lang w:val="es-ES_tradnl"/>
        </w:rPr>
        <w:t>En cumplimiento de lo exigido en el artículo 5, párrafo 2 a) del Protocolo Facultativo, el Comité se ha cerciorado de que el mismo asunto no est</w:t>
      </w:r>
      <w:r w:rsidR="004F6BAC" w:rsidRPr="00F31F05">
        <w:rPr>
          <w:lang w:val="es-ES_tradnl"/>
        </w:rPr>
        <w:t>é</w:t>
      </w:r>
      <w:r w:rsidR="000F4FDA" w:rsidRPr="00F31F05">
        <w:rPr>
          <w:lang w:val="es-ES_tradnl"/>
        </w:rPr>
        <w:t xml:space="preserve"> siendo examinado en el marco de otro procedimiento de examen o arreglo internacional.</w:t>
      </w:r>
    </w:p>
    <w:p w:rsidR="00BB7F23" w:rsidRDefault="00F31F05" w:rsidP="00124BC8">
      <w:pPr>
        <w:pStyle w:val="SingleTxtG"/>
        <w:rPr>
          <w:lang w:val="es-ES_tradnl" w:eastAsia="es-ES"/>
        </w:rPr>
      </w:pPr>
      <w:r>
        <w:rPr>
          <w:lang w:val="es-ES_tradnl" w:eastAsia="es-ES"/>
        </w:rPr>
        <w:t>6</w:t>
      </w:r>
      <w:r w:rsidR="005A5697" w:rsidRPr="00F31F05">
        <w:rPr>
          <w:lang w:val="es-ES_tradnl" w:eastAsia="es-ES"/>
        </w:rPr>
        <w:t>.3</w:t>
      </w:r>
      <w:r w:rsidR="005A5697" w:rsidRPr="00F31F05">
        <w:rPr>
          <w:lang w:val="es-ES_tradnl" w:eastAsia="es-ES"/>
        </w:rPr>
        <w:tab/>
      </w:r>
      <w:r w:rsidR="000F76B9" w:rsidRPr="00F31F05">
        <w:rPr>
          <w:lang w:val="es-ES_tradnl" w:eastAsia="es-ES"/>
        </w:rPr>
        <w:t xml:space="preserve">El </w:t>
      </w:r>
      <w:r w:rsidR="000F4FDA" w:rsidRPr="00F31F05">
        <w:rPr>
          <w:lang w:val="es-ES_tradnl" w:eastAsia="es-ES"/>
        </w:rPr>
        <w:t xml:space="preserve">Comité toma nota </w:t>
      </w:r>
      <w:r w:rsidR="009A703C">
        <w:rPr>
          <w:lang w:val="es-ES_tradnl" w:eastAsia="es-ES"/>
        </w:rPr>
        <w:t>de los</w:t>
      </w:r>
      <w:r w:rsidR="009A703C" w:rsidRPr="00F31F05">
        <w:rPr>
          <w:lang w:val="es-ES_tradnl" w:eastAsia="es-ES"/>
        </w:rPr>
        <w:t xml:space="preserve"> </w:t>
      </w:r>
      <w:r w:rsidR="000F4FDA" w:rsidRPr="00F31F05">
        <w:rPr>
          <w:lang w:val="es-ES_tradnl" w:eastAsia="es-ES"/>
        </w:rPr>
        <w:t>argumento</w:t>
      </w:r>
      <w:r w:rsidR="009A703C">
        <w:rPr>
          <w:lang w:val="es-ES_tradnl" w:eastAsia="es-ES"/>
        </w:rPr>
        <w:t>s</w:t>
      </w:r>
      <w:r w:rsidR="000F4FDA" w:rsidRPr="00F31F05">
        <w:rPr>
          <w:lang w:val="es-ES_tradnl" w:eastAsia="es-ES"/>
        </w:rPr>
        <w:t xml:space="preserve"> del </w:t>
      </w:r>
      <w:r w:rsidR="000F76B9" w:rsidRPr="00F31F05">
        <w:rPr>
          <w:lang w:val="es-ES_tradnl" w:eastAsia="es-ES"/>
        </w:rPr>
        <w:t xml:space="preserve">Estado parte </w:t>
      </w:r>
      <w:r w:rsidR="000F4FDA" w:rsidRPr="00F31F05">
        <w:rPr>
          <w:lang w:val="es-ES_tradnl" w:eastAsia="es-ES"/>
        </w:rPr>
        <w:t xml:space="preserve">relativo a </w:t>
      </w:r>
      <w:r w:rsidR="0038402C" w:rsidRPr="0038402C">
        <w:rPr>
          <w:lang w:val="es-ES_tradnl" w:eastAsia="es-ES"/>
        </w:rPr>
        <w:t xml:space="preserve">la inadmisibilidad </w:t>
      </w:r>
      <w:proofErr w:type="spellStart"/>
      <w:r w:rsidR="0038402C" w:rsidRPr="0038402C">
        <w:rPr>
          <w:i/>
          <w:lang w:val="es-ES_tradnl" w:eastAsia="es-ES"/>
        </w:rPr>
        <w:t>ratione</w:t>
      </w:r>
      <w:proofErr w:type="spellEnd"/>
      <w:r w:rsidR="0038402C" w:rsidRPr="0038402C">
        <w:rPr>
          <w:i/>
          <w:lang w:val="es-ES_tradnl" w:eastAsia="es-ES"/>
        </w:rPr>
        <w:t xml:space="preserve"> </w:t>
      </w:r>
      <w:proofErr w:type="spellStart"/>
      <w:r w:rsidR="0038402C" w:rsidRPr="0038402C">
        <w:rPr>
          <w:i/>
          <w:lang w:val="es-ES_tradnl" w:eastAsia="es-ES"/>
        </w:rPr>
        <w:t>materiae</w:t>
      </w:r>
      <w:proofErr w:type="spellEnd"/>
      <w:r w:rsidR="0053000C">
        <w:rPr>
          <w:lang w:val="es-ES_tradnl" w:eastAsia="es-ES"/>
        </w:rPr>
        <w:t>,</w:t>
      </w:r>
      <w:r w:rsidR="0038402C" w:rsidRPr="0038402C">
        <w:rPr>
          <w:lang w:val="es-ES_tradnl" w:eastAsia="es-ES"/>
        </w:rPr>
        <w:t xml:space="preserve"> por no</w:t>
      </w:r>
      <w:r w:rsidR="0053000C">
        <w:rPr>
          <w:lang w:val="es-ES_tradnl" w:eastAsia="es-ES"/>
        </w:rPr>
        <w:t xml:space="preserve"> estar contemplados los</w:t>
      </w:r>
      <w:r w:rsidR="0038402C" w:rsidRPr="0038402C">
        <w:rPr>
          <w:lang w:val="es-ES_tradnl" w:eastAsia="es-ES"/>
        </w:rPr>
        <w:t xml:space="preserve"> </w:t>
      </w:r>
      <w:r w:rsidR="0053000C" w:rsidRPr="0038402C">
        <w:rPr>
          <w:lang w:val="es-ES_tradnl" w:eastAsia="es-ES"/>
        </w:rPr>
        <w:t xml:space="preserve">derechos ambientales </w:t>
      </w:r>
      <w:r w:rsidR="0053000C">
        <w:rPr>
          <w:lang w:val="es-ES_tradnl" w:eastAsia="es-ES"/>
        </w:rPr>
        <w:t>en</w:t>
      </w:r>
      <w:r w:rsidR="0038402C" w:rsidRPr="0038402C">
        <w:rPr>
          <w:lang w:val="es-ES_tradnl" w:eastAsia="es-ES"/>
        </w:rPr>
        <w:t xml:space="preserve"> el Pacto</w:t>
      </w:r>
      <w:r w:rsidR="0053000C">
        <w:rPr>
          <w:lang w:val="es-ES_tradnl" w:eastAsia="es-ES"/>
        </w:rPr>
        <w:t xml:space="preserve">. </w:t>
      </w:r>
      <w:r w:rsidR="0053000C" w:rsidRPr="0053000C">
        <w:rPr>
          <w:lang w:val="es-ES_tradnl" w:eastAsia="es-ES"/>
        </w:rPr>
        <w:t xml:space="preserve">No obstante, el Comité toma nota de la afirmación </w:t>
      </w:r>
      <w:r w:rsidR="0053000C">
        <w:rPr>
          <w:lang w:val="es-ES_tradnl" w:eastAsia="es-ES"/>
        </w:rPr>
        <w:t>de los autores</w:t>
      </w:r>
      <w:r w:rsidR="0053000C" w:rsidRPr="0053000C">
        <w:rPr>
          <w:lang w:val="es-ES_tradnl" w:eastAsia="es-ES"/>
        </w:rPr>
        <w:t xml:space="preserve"> </w:t>
      </w:r>
      <w:r w:rsidR="0053000C">
        <w:rPr>
          <w:lang w:val="es-ES_tradnl" w:eastAsia="es-ES"/>
        </w:rPr>
        <w:t>de que</w:t>
      </w:r>
      <w:r w:rsidR="0053000C" w:rsidRPr="0053000C">
        <w:rPr>
          <w:lang w:val="es-ES_tradnl" w:eastAsia="es-ES"/>
        </w:rPr>
        <w:t xml:space="preserve"> no alega</w:t>
      </w:r>
      <w:r w:rsidR="0053000C">
        <w:rPr>
          <w:lang w:val="es-ES_tradnl" w:eastAsia="es-ES"/>
        </w:rPr>
        <w:t>n</w:t>
      </w:r>
      <w:r w:rsidR="0053000C" w:rsidRPr="0053000C">
        <w:rPr>
          <w:lang w:val="es-ES_tradnl" w:eastAsia="es-ES"/>
        </w:rPr>
        <w:t xml:space="preserve"> </w:t>
      </w:r>
      <w:r w:rsidR="0053000C">
        <w:rPr>
          <w:lang w:val="es-ES_tradnl" w:eastAsia="es-ES"/>
        </w:rPr>
        <w:t>la violación de</w:t>
      </w:r>
      <w:r w:rsidR="00187F95">
        <w:rPr>
          <w:lang w:val="es-ES_tradnl" w:eastAsia="es-ES"/>
        </w:rPr>
        <w:t>l</w:t>
      </w:r>
      <w:r w:rsidR="0053000C">
        <w:rPr>
          <w:lang w:val="es-ES_tradnl" w:eastAsia="es-ES"/>
        </w:rPr>
        <w:t xml:space="preserve"> </w:t>
      </w:r>
      <w:r w:rsidR="0053000C" w:rsidRPr="0053000C">
        <w:rPr>
          <w:lang w:val="es-ES_tradnl" w:eastAsia="es-ES"/>
        </w:rPr>
        <w:t xml:space="preserve">derecho a un ambiente sano, sino </w:t>
      </w:r>
      <w:r w:rsidR="0053000C">
        <w:rPr>
          <w:lang w:val="es-ES_tradnl" w:eastAsia="es-ES"/>
        </w:rPr>
        <w:t xml:space="preserve">de </w:t>
      </w:r>
      <w:r w:rsidR="00E23725">
        <w:rPr>
          <w:lang w:val="es-ES_tradnl" w:eastAsia="es-ES"/>
        </w:rPr>
        <w:t xml:space="preserve">sus </w:t>
      </w:r>
      <w:r w:rsidR="0053000C">
        <w:rPr>
          <w:lang w:val="es-ES_tradnl" w:eastAsia="es-ES"/>
        </w:rPr>
        <w:t>derechos a</w:t>
      </w:r>
      <w:r w:rsidR="0053000C" w:rsidRPr="0053000C">
        <w:rPr>
          <w:lang w:val="es-ES_tradnl" w:eastAsia="es-ES"/>
        </w:rPr>
        <w:t xml:space="preserve"> la vida</w:t>
      </w:r>
      <w:r w:rsidR="0053000C">
        <w:rPr>
          <w:lang w:val="es-ES_tradnl" w:eastAsia="es-ES"/>
        </w:rPr>
        <w:t>,</w:t>
      </w:r>
      <w:r w:rsidR="0053000C" w:rsidRPr="0053000C">
        <w:rPr>
          <w:lang w:val="es-ES_tradnl" w:eastAsia="es-ES"/>
        </w:rPr>
        <w:t xml:space="preserve"> a la integridad física</w:t>
      </w:r>
      <w:r w:rsidR="0053000C">
        <w:rPr>
          <w:lang w:val="es-ES_tradnl" w:eastAsia="es-ES"/>
        </w:rPr>
        <w:t>, a la vida</w:t>
      </w:r>
      <w:r w:rsidR="0053000C" w:rsidRPr="0053000C">
        <w:rPr>
          <w:lang w:val="es-ES_tradnl" w:eastAsia="es-ES"/>
        </w:rPr>
        <w:t xml:space="preserve"> </w:t>
      </w:r>
      <w:r w:rsidR="0053000C">
        <w:rPr>
          <w:lang w:val="es-ES_tradnl" w:eastAsia="es-ES"/>
        </w:rPr>
        <w:t>privada y familiar</w:t>
      </w:r>
      <w:r w:rsidR="0053000C" w:rsidRPr="0053000C">
        <w:rPr>
          <w:lang w:val="es-ES_tradnl" w:eastAsia="es-ES"/>
        </w:rPr>
        <w:t xml:space="preserve">, y </w:t>
      </w:r>
      <w:r w:rsidR="0053000C">
        <w:rPr>
          <w:lang w:val="es-ES_tradnl" w:eastAsia="es-ES"/>
        </w:rPr>
        <w:t>a</w:t>
      </w:r>
      <w:r w:rsidR="0053000C" w:rsidRPr="0053000C">
        <w:rPr>
          <w:lang w:val="es-ES_tradnl" w:eastAsia="es-ES"/>
        </w:rPr>
        <w:t xml:space="preserve"> </w:t>
      </w:r>
      <w:r w:rsidR="00E23725">
        <w:rPr>
          <w:lang w:val="es-ES_tradnl" w:eastAsia="es-ES"/>
        </w:rPr>
        <w:t xml:space="preserve">un </w:t>
      </w:r>
      <w:r w:rsidR="0053000C" w:rsidRPr="0053000C">
        <w:rPr>
          <w:lang w:val="es-ES_tradnl" w:eastAsia="es-ES"/>
        </w:rPr>
        <w:t xml:space="preserve">recurso efectivo, en razón de que el Estado parte no cumplió </w:t>
      </w:r>
      <w:r w:rsidR="0053000C">
        <w:rPr>
          <w:lang w:val="es-ES_tradnl" w:eastAsia="es-ES"/>
        </w:rPr>
        <w:t xml:space="preserve">con </w:t>
      </w:r>
      <w:r w:rsidR="0053000C" w:rsidRPr="0053000C">
        <w:rPr>
          <w:lang w:val="es-ES_tradnl" w:eastAsia="es-ES"/>
        </w:rPr>
        <w:t xml:space="preserve">su obligación positiva de proteger </w:t>
      </w:r>
      <w:r w:rsidR="0053000C">
        <w:rPr>
          <w:lang w:val="es-ES_tradnl" w:eastAsia="es-ES"/>
        </w:rPr>
        <w:t>estos</w:t>
      </w:r>
      <w:r w:rsidR="0053000C" w:rsidRPr="0053000C">
        <w:rPr>
          <w:lang w:val="es-ES_tradnl" w:eastAsia="es-ES"/>
        </w:rPr>
        <w:t xml:space="preserve"> derecho</w:t>
      </w:r>
      <w:r w:rsidR="0053000C">
        <w:rPr>
          <w:lang w:val="es-ES_tradnl" w:eastAsia="es-ES"/>
        </w:rPr>
        <w:t>s</w:t>
      </w:r>
      <w:r w:rsidR="0053000C" w:rsidRPr="0053000C">
        <w:rPr>
          <w:lang w:val="es-ES_tradnl" w:eastAsia="es-ES"/>
        </w:rPr>
        <w:t xml:space="preserve">, lo que, en sus circunstancias particulares, entrañaba </w:t>
      </w:r>
      <w:r w:rsidR="00841EBE">
        <w:rPr>
          <w:lang w:val="es-ES_tradnl" w:eastAsia="es-ES"/>
        </w:rPr>
        <w:t>el</w:t>
      </w:r>
      <w:r w:rsidR="00841EBE" w:rsidRPr="00841EBE">
        <w:rPr>
          <w:lang w:val="es-ES_tradnl" w:eastAsia="es-ES"/>
        </w:rPr>
        <w:t xml:space="preserve"> control del respeto de las normas ambientales</w:t>
      </w:r>
      <w:r w:rsidR="0053000C" w:rsidRPr="00841EBE">
        <w:rPr>
          <w:lang w:val="es-ES_tradnl" w:eastAsia="es-ES"/>
        </w:rPr>
        <w:t>.</w:t>
      </w:r>
      <w:r w:rsidR="0053000C" w:rsidRPr="0053000C">
        <w:rPr>
          <w:lang w:val="es-ES_tradnl" w:eastAsia="es-ES"/>
        </w:rPr>
        <w:t xml:space="preserve"> </w:t>
      </w:r>
      <w:r w:rsidR="008409FA">
        <w:rPr>
          <w:lang w:val="es-ES_tradnl" w:eastAsia="es-ES"/>
        </w:rPr>
        <w:t>E</w:t>
      </w:r>
      <w:r w:rsidR="00E23725">
        <w:rPr>
          <w:lang w:val="es-ES_tradnl" w:eastAsia="es-ES"/>
        </w:rPr>
        <w:t>n consecuencia, e</w:t>
      </w:r>
      <w:r w:rsidR="005A4FFF">
        <w:rPr>
          <w:lang w:val="es-ES_tradnl" w:eastAsia="es-ES"/>
        </w:rPr>
        <w:t xml:space="preserve">l Comité estima que </w:t>
      </w:r>
      <w:r w:rsidR="00E23725">
        <w:rPr>
          <w:lang w:val="es-ES_tradnl" w:eastAsia="es-ES"/>
        </w:rPr>
        <w:t xml:space="preserve">el artículo 3 del Protocolo Facultativo no constituye un obstáculo a la admisibilidad de la presente comunicación. </w:t>
      </w:r>
    </w:p>
    <w:p w:rsidR="00744765" w:rsidRPr="00324B18" w:rsidRDefault="0076143B" w:rsidP="00324B18">
      <w:pPr>
        <w:pStyle w:val="SingleTxtG"/>
        <w:rPr>
          <w:lang w:val="es-ES_tradnl" w:eastAsia="es-ES"/>
        </w:rPr>
      </w:pPr>
      <w:r>
        <w:rPr>
          <w:lang w:val="es-ES_tradnl" w:eastAsia="es-ES"/>
        </w:rPr>
        <w:t>6.4</w:t>
      </w:r>
      <w:r w:rsidR="00744765">
        <w:rPr>
          <w:lang w:val="es-ES_tradnl" w:eastAsia="es-ES"/>
        </w:rPr>
        <w:tab/>
        <w:t>E</w:t>
      </w:r>
      <w:r w:rsidR="00744765" w:rsidRPr="0098045F">
        <w:rPr>
          <w:lang w:val="es-ES_tradnl" w:eastAsia="es-ES"/>
        </w:rPr>
        <w:t xml:space="preserve">l Comité toma nota </w:t>
      </w:r>
      <w:r w:rsidR="00744765">
        <w:rPr>
          <w:lang w:val="es-ES_tradnl" w:eastAsia="es-ES"/>
        </w:rPr>
        <w:t xml:space="preserve">también </w:t>
      </w:r>
      <w:r w:rsidR="00744765" w:rsidRPr="0098045F">
        <w:rPr>
          <w:lang w:val="es-ES_tradnl" w:eastAsia="es-ES"/>
        </w:rPr>
        <w:t xml:space="preserve">del argumento del Estado parte </w:t>
      </w:r>
      <w:r w:rsidR="00E3384E">
        <w:rPr>
          <w:lang w:val="es-ES_tradnl" w:eastAsia="es-ES"/>
        </w:rPr>
        <w:t xml:space="preserve">de </w:t>
      </w:r>
      <w:r w:rsidR="00744765" w:rsidRPr="00744765">
        <w:rPr>
          <w:lang w:val="es-ES_tradnl" w:eastAsia="es-ES"/>
        </w:rPr>
        <w:t xml:space="preserve">falta de agotamiento de los recursos internos al estar </w:t>
      </w:r>
      <w:r w:rsidR="00744765">
        <w:rPr>
          <w:lang w:val="es-ES_tradnl" w:eastAsia="es-ES"/>
        </w:rPr>
        <w:t>abierta la</w:t>
      </w:r>
      <w:r w:rsidR="00744765" w:rsidRPr="00744765">
        <w:rPr>
          <w:lang w:val="es-ES_tradnl" w:eastAsia="es-ES"/>
        </w:rPr>
        <w:t xml:space="preserve"> causa penal en la que se investiga la </w:t>
      </w:r>
      <w:r w:rsidR="00744765">
        <w:rPr>
          <w:lang w:val="es-ES_tradnl" w:eastAsia="es-ES"/>
        </w:rPr>
        <w:t xml:space="preserve">muerte </w:t>
      </w:r>
      <w:r w:rsidR="00744765" w:rsidRPr="00CA678B">
        <w:rPr>
          <w:lang w:val="es-ES_tradnl" w:eastAsia="es-ES"/>
        </w:rPr>
        <w:t>del Sr. Portillo Cáceres y la intoxicación de los autores por infracciones a la legislación ambiental</w:t>
      </w:r>
      <w:r w:rsidR="00CA678B" w:rsidRPr="00CA678B">
        <w:rPr>
          <w:lang w:val="es-ES"/>
        </w:rPr>
        <w:t xml:space="preserve">. </w:t>
      </w:r>
      <w:r w:rsidR="00324B18" w:rsidRPr="00CA678B">
        <w:rPr>
          <w:lang w:val="es-ES_tradnl" w:eastAsia="es-ES"/>
        </w:rPr>
        <w:t xml:space="preserve">El Comité recuerda que el propósito del requisito de agotamiento es que el propio Estado parte tenga </w:t>
      </w:r>
      <w:r w:rsidR="00324B18" w:rsidRPr="00F31F05">
        <w:rPr>
          <w:lang w:val="es-ES_tradnl" w:eastAsia="es-ES"/>
        </w:rPr>
        <w:t>la oportunidad de hacer efectivo su deber de proteger y garantizar los derechos consagrados en el Pacto.</w:t>
      </w:r>
      <w:r w:rsidR="003C3478">
        <w:rPr>
          <w:rStyle w:val="FootnoteReference"/>
          <w:lang w:val="es-ES_tradnl" w:eastAsia="es-ES"/>
        </w:rPr>
        <w:footnoteReference w:id="39"/>
      </w:r>
      <w:r w:rsidR="00324B18" w:rsidRPr="00F31F05">
        <w:rPr>
          <w:lang w:val="es-ES_tradnl" w:eastAsia="es-ES"/>
        </w:rPr>
        <w:t xml:space="preserve"> Sin embargo, a efectos de lo dispuesto en el artículo 5, párrafo 2, inciso b, del Protocolo Facultativo, los recursos internos no deben prolongarse injustificadamente. En vista de que han transcurrido más de 8 años desde </w:t>
      </w:r>
      <w:r w:rsidR="00F553F6">
        <w:rPr>
          <w:lang w:val="es-ES_tradnl" w:eastAsia="es-ES"/>
        </w:rPr>
        <w:t>los hechos</w:t>
      </w:r>
      <w:r w:rsidR="00324B18" w:rsidRPr="00F31F05">
        <w:rPr>
          <w:lang w:val="es-ES_tradnl" w:eastAsia="es-ES"/>
        </w:rPr>
        <w:t xml:space="preserve"> sin que </w:t>
      </w:r>
      <w:r w:rsidR="006A0BFA">
        <w:rPr>
          <w:lang w:val="es-ES_tradnl" w:eastAsia="es-ES"/>
        </w:rPr>
        <w:t>la causa penal haya</w:t>
      </w:r>
      <w:r w:rsidR="00324B18" w:rsidRPr="00F31F05">
        <w:rPr>
          <w:lang w:val="es-ES_tradnl" w:eastAsia="es-ES"/>
        </w:rPr>
        <w:t xml:space="preserve"> avanzado significativamente, </w:t>
      </w:r>
      <w:r w:rsidR="00E23725">
        <w:rPr>
          <w:lang w:val="es-ES_tradnl" w:eastAsia="es-ES"/>
        </w:rPr>
        <w:t xml:space="preserve">y a falta de justificación del Estado parte de dicho retraso significante, </w:t>
      </w:r>
      <w:r w:rsidR="00324B18" w:rsidRPr="00F31F05">
        <w:rPr>
          <w:lang w:val="es-ES_tradnl" w:eastAsia="es-ES"/>
        </w:rPr>
        <w:t>el Comité considera que</w:t>
      </w:r>
      <w:r w:rsidR="00324B18" w:rsidRPr="00F31F05">
        <w:rPr>
          <w:lang w:val="es-ES"/>
        </w:rPr>
        <w:t xml:space="preserve"> dichas investigaciones se </w:t>
      </w:r>
      <w:r w:rsidR="00324B18" w:rsidRPr="00F31F05">
        <w:rPr>
          <w:lang w:val="es-ES"/>
        </w:rPr>
        <w:lastRenderedPageBreak/>
        <w:t>han dilatado excesivamente</w:t>
      </w:r>
      <w:r w:rsidR="008A0D39">
        <w:rPr>
          <w:lang w:val="es-ES"/>
        </w:rPr>
        <w:t>,</w:t>
      </w:r>
      <w:r w:rsidR="00324B18" w:rsidRPr="00F31F05">
        <w:rPr>
          <w:lang w:val="es-ES"/>
        </w:rPr>
        <w:t xml:space="preserve"> </w:t>
      </w:r>
      <w:r w:rsidR="008A0D39">
        <w:rPr>
          <w:lang w:val="es-ES_tradnl" w:eastAsia="es-ES"/>
        </w:rPr>
        <w:t xml:space="preserve">por lo que </w:t>
      </w:r>
      <w:r w:rsidR="00324B18" w:rsidRPr="00F31F05">
        <w:rPr>
          <w:lang w:val="es-ES_tradnl" w:eastAsia="es-ES"/>
        </w:rPr>
        <w:t>la presente queja</w:t>
      </w:r>
      <w:r w:rsidR="005679BE">
        <w:rPr>
          <w:lang w:val="es-ES_tradnl" w:eastAsia="es-ES"/>
        </w:rPr>
        <w:t xml:space="preserve"> puede ser examinada</w:t>
      </w:r>
      <w:r w:rsidR="00324B18" w:rsidRPr="00F31F05">
        <w:rPr>
          <w:lang w:val="es-ES_tradnl" w:eastAsia="es-ES"/>
        </w:rPr>
        <w:t>.</w:t>
      </w:r>
      <w:r w:rsidR="00324B18" w:rsidRPr="00F31F05">
        <w:rPr>
          <w:rStyle w:val="FootnoteReference"/>
          <w:lang w:val="es-ES_tradnl" w:eastAsia="es-ES"/>
        </w:rPr>
        <w:footnoteReference w:id="40"/>
      </w:r>
    </w:p>
    <w:p w:rsidR="00744765" w:rsidRPr="00CC2B4A" w:rsidRDefault="0076143B" w:rsidP="004406D3">
      <w:pPr>
        <w:pStyle w:val="SingleTxtG"/>
        <w:rPr>
          <w:lang w:val="es-ES_tradnl" w:eastAsia="es-ES"/>
        </w:rPr>
      </w:pPr>
      <w:r>
        <w:rPr>
          <w:lang w:val="es-ES_tradnl" w:eastAsia="es-ES"/>
        </w:rPr>
        <w:t>6.5</w:t>
      </w:r>
      <w:r w:rsidR="006A0BFA">
        <w:rPr>
          <w:lang w:val="es-ES_tradnl" w:eastAsia="es-ES"/>
        </w:rPr>
        <w:tab/>
      </w:r>
      <w:r w:rsidR="00566C5D">
        <w:rPr>
          <w:lang w:val="es-ES_tradnl" w:eastAsia="es-ES"/>
        </w:rPr>
        <w:t>Asimismo</w:t>
      </w:r>
      <w:r w:rsidR="00744765">
        <w:rPr>
          <w:lang w:val="es-ES_tradnl" w:eastAsia="es-ES"/>
        </w:rPr>
        <w:t xml:space="preserve">, </w:t>
      </w:r>
      <w:r w:rsidR="006A0BFA">
        <w:rPr>
          <w:lang w:val="es-ES_tradnl" w:eastAsia="es-ES"/>
        </w:rPr>
        <w:t>e</w:t>
      </w:r>
      <w:r w:rsidR="006A0BFA" w:rsidRPr="006A0BFA">
        <w:rPr>
          <w:lang w:val="es-ES_tradnl" w:eastAsia="es-ES"/>
        </w:rPr>
        <w:t xml:space="preserve">l Comité toma nota del argumento del Estado parte </w:t>
      </w:r>
      <w:r w:rsidR="00573BF0">
        <w:rPr>
          <w:lang w:val="es-ES_tradnl" w:eastAsia="es-ES"/>
        </w:rPr>
        <w:t xml:space="preserve">de </w:t>
      </w:r>
      <w:r w:rsidR="006A0BFA" w:rsidRPr="006A0BFA">
        <w:rPr>
          <w:lang w:val="es-ES_tradnl" w:eastAsia="es-ES"/>
        </w:rPr>
        <w:t xml:space="preserve">falta de agotamiento de los recursos internos al </w:t>
      </w:r>
      <w:r w:rsidR="00CA678B">
        <w:rPr>
          <w:lang w:val="es-ES_tradnl" w:eastAsia="es-ES"/>
        </w:rPr>
        <w:t>no haber presentado</w:t>
      </w:r>
      <w:r w:rsidR="00573BF0">
        <w:rPr>
          <w:lang w:val="es-ES_tradnl" w:eastAsia="es-ES"/>
        </w:rPr>
        <w:t xml:space="preserve"> los autores</w:t>
      </w:r>
      <w:r w:rsidR="00CA678B">
        <w:rPr>
          <w:lang w:val="es-ES_tradnl" w:eastAsia="es-ES"/>
        </w:rPr>
        <w:t xml:space="preserve"> </w:t>
      </w:r>
      <w:r w:rsidR="00CC2B4A">
        <w:rPr>
          <w:lang w:val="es-ES_tradnl" w:eastAsia="es-ES"/>
        </w:rPr>
        <w:t xml:space="preserve">acción civil posesoria. </w:t>
      </w:r>
      <w:r w:rsidR="00CC2B4A" w:rsidRPr="00CC2B4A">
        <w:rPr>
          <w:lang w:val="es-ES_tradnl" w:eastAsia="es-ES"/>
        </w:rPr>
        <w:t>No obstante, el Comité toma nota de la afirmación de los autores</w:t>
      </w:r>
      <w:r w:rsidR="00CC2B4A">
        <w:rPr>
          <w:lang w:val="es-ES_tradnl" w:eastAsia="es-ES"/>
        </w:rPr>
        <w:t xml:space="preserve"> de que</w:t>
      </w:r>
      <w:r w:rsidR="00E23725">
        <w:rPr>
          <w:lang w:val="es-ES_tradnl" w:eastAsia="es-ES"/>
        </w:rPr>
        <w:t xml:space="preserve"> ese recurso</w:t>
      </w:r>
      <w:r w:rsidR="00CC2B4A">
        <w:rPr>
          <w:lang w:val="es-ES_tradnl" w:eastAsia="es-ES"/>
        </w:rPr>
        <w:t xml:space="preserve"> no hubiera constituido </w:t>
      </w:r>
      <w:r w:rsidR="00CC2B4A" w:rsidRPr="00CC2B4A">
        <w:rPr>
          <w:lang w:val="es-ES_tradnl" w:eastAsia="es-ES"/>
        </w:rPr>
        <w:t xml:space="preserve">una vía efectiva </w:t>
      </w:r>
      <w:r w:rsidR="00E432D1" w:rsidRPr="00E432D1">
        <w:rPr>
          <w:lang w:val="es-ES_tradnl" w:eastAsia="es-ES"/>
        </w:rPr>
        <w:t>para la protección de los derechos a la vida y a la integridad</w:t>
      </w:r>
      <w:r w:rsidR="000F63C1">
        <w:rPr>
          <w:lang w:val="es-ES_tradnl" w:eastAsia="es-ES"/>
        </w:rPr>
        <w:t>,</w:t>
      </w:r>
      <w:r w:rsidR="00E432D1" w:rsidRPr="00E432D1">
        <w:rPr>
          <w:lang w:val="es-ES_tradnl" w:eastAsia="es-ES"/>
        </w:rPr>
        <w:t xml:space="preserve"> vulnerados por </w:t>
      </w:r>
      <w:r w:rsidR="00983084">
        <w:rPr>
          <w:lang w:val="es-ES_tradnl" w:eastAsia="es-ES"/>
        </w:rPr>
        <w:t>una</w:t>
      </w:r>
      <w:r w:rsidR="00E432D1" w:rsidRPr="00E432D1">
        <w:rPr>
          <w:lang w:val="es-ES_tradnl" w:eastAsia="es-ES"/>
        </w:rPr>
        <w:t xml:space="preserve"> actuación </w:t>
      </w:r>
      <w:r w:rsidR="00983084" w:rsidRPr="00E432D1">
        <w:rPr>
          <w:lang w:val="es-ES_tradnl" w:eastAsia="es-ES"/>
        </w:rPr>
        <w:t xml:space="preserve">ineficiente </w:t>
      </w:r>
      <w:r w:rsidR="00E432D1" w:rsidRPr="00E432D1">
        <w:rPr>
          <w:lang w:val="es-ES_tradnl" w:eastAsia="es-ES"/>
        </w:rPr>
        <w:t>de las autoridades</w:t>
      </w:r>
      <w:r w:rsidR="00CC2B4A">
        <w:rPr>
          <w:lang w:val="es-ES_tradnl" w:eastAsia="es-ES"/>
        </w:rPr>
        <w:t>. El Comité</w:t>
      </w:r>
      <w:r w:rsidR="004406D3">
        <w:rPr>
          <w:lang w:val="es-ES_tradnl" w:eastAsia="es-ES"/>
        </w:rPr>
        <w:t xml:space="preserve"> recuerda que</w:t>
      </w:r>
      <w:r w:rsidR="00694BB7">
        <w:rPr>
          <w:lang w:val="es-ES_tradnl" w:eastAsia="es-ES"/>
        </w:rPr>
        <w:t>,</w:t>
      </w:r>
      <w:r w:rsidR="004406D3">
        <w:rPr>
          <w:lang w:val="es-ES_tradnl" w:eastAsia="es-ES"/>
        </w:rPr>
        <w:t xml:space="preserve"> a los efectos del </w:t>
      </w:r>
      <w:r w:rsidR="004406D3" w:rsidRPr="004406D3">
        <w:rPr>
          <w:lang w:val="es-ES_tradnl" w:eastAsia="es-ES"/>
        </w:rPr>
        <w:t xml:space="preserve">inciso b) del párrafo 2 del artículo </w:t>
      </w:r>
      <w:r w:rsidR="004406D3">
        <w:rPr>
          <w:lang w:val="es-ES_tradnl" w:eastAsia="es-ES"/>
        </w:rPr>
        <w:t>5 del Protocolo Facultativo, los autores solamente deben</w:t>
      </w:r>
      <w:r w:rsidR="004406D3" w:rsidRPr="004406D3">
        <w:rPr>
          <w:lang w:val="es-ES_tradnl" w:eastAsia="es-ES"/>
        </w:rPr>
        <w:t xml:space="preserve"> </w:t>
      </w:r>
      <w:r w:rsidR="004406D3">
        <w:rPr>
          <w:lang w:val="es-ES_tradnl" w:eastAsia="es-ES"/>
        </w:rPr>
        <w:t xml:space="preserve">presentar los recursos </w:t>
      </w:r>
      <w:r w:rsidR="004406D3" w:rsidRPr="004406D3">
        <w:rPr>
          <w:lang w:val="es-ES_tradnl" w:eastAsia="es-ES"/>
        </w:rPr>
        <w:t>que le</w:t>
      </w:r>
      <w:r w:rsidR="004406D3">
        <w:rPr>
          <w:lang w:val="es-ES_tradnl" w:eastAsia="es-ES"/>
        </w:rPr>
        <w:t>s ofrezcan</w:t>
      </w:r>
      <w:r w:rsidR="004406D3" w:rsidRPr="004406D3">
        <w:rPr>
          <w:lang w:val="es-ES_tradnl" w:eastAsia="es-ES"/>
        </w:rPr>
        <w:t xml:space="preserve"> una posibilidad razonable de reparación</w:t>
      </w:r>
      <w:r w:rsidR="00EF0A39">
        <w:rPr>
          <w:lang w:val="es-ES_tradnl" w:eastAsia="es-ES"/>
        </w:rPr>
        <w:t>,</w:t>
      </w:r>
      <w:r w:rsidR="00EF0A39">
        <w:rPr>
          <w:rStyle w:val="FootnoteReference"/>
          <w:lang w:val="es-ES_tradnl" w:eastAsia="es-ES"/>
        </w:rPr>
        <w:footnoteReference w:id="41"/>
      </w:r>
      <w:r w:rsidR="00281482">
        <w:rPr>
          <w:lang w:val="es-ES_tradnl" w:eastAsia="es-ES"/>
        </w:rPr>
        <w:t xml:space="preserve"> que guarden relación con la violación alegada y cuya reparación sea</w:t>
      </w:r>
      <w:r w:rsidR="00D879D5">
        <w:rPr>
          <w:lang w:val="es-ES_tradnl" w:eastAsia="es-ES"/>
        </w:rPr>
        <w:t xml:space="preserve"> </w:t>
      </w:r>
      <w:r w:rsidR="00EF0A39">
        <w:rPr>
          <w:lang w:val="es-ES_tradnl" w:eastAsia="es-ES"/>
        </w:rPr>
        <w:t>acorde a</w:t>
      </w:r>
      <w:r w:rsidR="005651BA">
        <w:rPr>
          <w:lang w:val="es-ES_tradnl" w:eastAsia="es-ES"/>
        </w:rPr>
        <w:t>l daño causado</w:t>
      </w:r>
      <w:r w:rsidR="004406D3">
        <w:rPr>
          <w:lang w:val="es-ES_tradnl" w:eastAsia="es-ES"/>
        </w:rPr>
        <w:t>.</w:t>
      </w:r>
      <w:r w:rsidR="00C42839" w:rsidRPr="00C42839">
        <w:rPr>
          <w:lang w:val="es-ES"/>
        </w:rPr>
        <w:t xml:space="preserve"> </w:t>
      </w:r>
      <w:r w:rsidR="00AF3C4A">
        <w:rPr>
          <w:lang w:val="es-ES"/>
        </w:rPr>
        <w:t xml:space="preserve">El Comité también observa que el Juzgado que conoció del amparo reconoció que “no existe una vía ordinaria de protección del derecho lesionado, pues son las mismas instituciones encargadas de las políticas ambientales y de fitosanitaria quienes han omitido cumplir a cabalidad con sus funciones”. </w:t>
      </w:r>
      <w:r w:rsidR="00C42839">
        <w:rPr>
          <w:lang w:val="es-ES_tradnl" w:eastAsia="es-ES"/>
        </w:rPr>
        <w:t>E</w:t>
      </w:r>
      <w:r w:rsidR="00C42839" w:rsidRPr="00C42839">
        <w:rPr>
          <w:lang w:val="es-ES_tradnl" w:eastAsia="es-ES"/>
        </w:rPr>
        <w:t xml:space="preserve">n consecuencia, </w:t>
      </w:r>
      <w:r w:rsidR="00C42839">
        <w:rPr>
          <w:lang w:val="es-ES_tradnl" w:eastAsia="es-ES"/>
        </w:rPr>
        <w:t xml:space="preserve">el Comité considera que </w:t>
      </w:r>
      <w:r w:rsidR="00231C65">
        <w:rPr>
          <w:lang w:val="es-ES_tradnl" w:eastAsia="es-ES"/>
        </w:rPr>
        <w:t>una acción civil</w:t>
      </w:r>
      <w:r w:rsidR="00231C65" w:rsidRPr="00231C65">
        <w:rPr>
          <w:lang w:val="es-ES_tradnl" w:eastAsia="es-ES"/>
        </w:rPr>
        <w:t xml:space="preserve"> </w:t>
      </w:r>
      <w:r w:rsidR="00E554D1">
        <w:rPr>
          <w:lang w:val="es-ES_tradnl" w:eastAsia="es-ES"/>
        </w:rPr>
        <w:t>por</w:t>
      </w:r>
      <w:r w:rsidR="00231C65">
        <w:rPr>
          <w:lang w:val="es-ES_tradnl" w:eastAsia="es-ES"/>
        </w:rPr>
        <w:t xml:space="preserve"> la afectación </w:t>
      </w:r>
      <w:r w:rsidR="00231C65" w:rsidRPr="00231C65">
        <w:rPr>
          <w:lang w:val="es-ES_tradnl" w:eastAsia="es-ES"/>
        </w:rPr>
        <w:t xml:space="preserve">en </w:t>
      </w:r>
      <w:r w:rsidR="000F63C1">
        <w:rPr>
          <w:lang w:val="es-ES_tradnl" w:eastAsia="es-ES"/>
        </w:rPr>
        <w:t>la</w:t>
      </w:r>
      <w:r w:rsidR="000F63C1" w:rsidRPr="00231C65">
        <w:rPr>
          <w:lang w:val="es-ES_tradnl" w:eastAsia="es-ES"/>
        </w:rPr>
        <w:t xml:space="preserve"> </w:t>
      </w:r>
      <w:r w:rsidR="00231C65" w:rsidRPr="00231C65">
        <w:rPr>
          <w:lang w:val="es-ES_tradnl" w:eastAsia="es-ES"/>
        </w:rPr>
        <w:t xml:space="preserve">posesión </w:t>
      </w:r>
      <w:r w:rsidR="00231C65">
        <w:rPr>
          <w:lang w:val="es-ES_tradnl" w:eastAsia="es-ES"/>
        </w:rPr>
        <w:t xml:space="preserve">no </w:t>
      </w:r>
      <w:r w:rsidR="00E23725">
        <w:rPr>
          <w:lang w:val="es-ES_tradnl" w:eastAsia="es-ES"/>
        </w:rPr>
        <w:t xml:space="preserve">constituía un recurso efectivo a los efectos de la presente comunicación, y la declara admisible de conformidad con el </w:t>
      </w:r>
      <w:r w:rsidR="00C42839" w:rsidRPr="00C42839">
        <w:rPr>
          <w:lang w:val="es-ES_tradnl" w:eastAsia="es-ES"/>
        </w:rPr>
        <w:t>artículo 5, párrafo 2, inciso b, del Protocolo Facultativo</w:t>
      </w:r>
      <w:r w:rsidR="00C42839">
        <w:rPr>
          <w:lang w:val="es-ES_tradnl" w:eastAsia="es-ES"/>
        </w:rPr>
        <w:t>.</w:t>
      </w:r>
    </w:p>
    <w:p w:rsidR="00124BC8" w:rsidRPr="00DB470C" w:rsidRDefault="00DB470C" w:rsidP="00124BC8">
      <w:pPr>
        <w:pStyle w:val="SingleTxtG"/>
        <w:rPr>
          <w:lang w:val="es-ES_tradnl" w:eastAsia="es-ES"/>
        </w:rPr>
      </w:pPr>
      <w:r>
        <w:rPr>
          <w:lang w:val="es-ES_tradnl" w:eastAsia="es-ES"/>
        </w:rPr>
        <w:t>6</w:t>
      </w:r>
      <w:r w:rsidR="00227A81" w:rsidRPr="00DB470C">
        <w:rPr>
          <w:lang w:val="es-ES_tradnl" w:eastAsia="es-ES"/>
        </w:rPr>
        <w:t>.</w:t>
      </w:r>
      <w:r w:rsidR="0076143B">
        <w:rPr>
          <w:lang w:val="es-ES_tradnl" w:eastAsia="es-ES"/>
        </w:rPr>
        <w:t>6</w:t>
      </w:r>
      <w:r w:rsidR="00124BC8" w:rsidRPr="00DB470C">
        <w:rPr>
          <w:lang w:val="es-ES_tradnl" w:eastAsia="es-ES"/>
        </w:rPr>
        <w:tab/>
        <w:t xml:space="preserve">Habiéndose cumplido todos los requisitos de admisibilidad, </w:t>
      </w:r>
      <w:r w:rsidR="00366363" w:rsidRPr="00DB470C">
        <w:rPr>
          <w:lang w:val="es-ES_tradnl" w:eastAsia="es-ES"/>
        </w:rPr>
        <w:t>y observando que las quejas de</w:t>
      </w:r>
      <w:r w:rsidR="002837F0" w:rsidRPr="00DB470C">
        <w:rPr>
          <w:lang w:val="es-ES_tradnl" w:eastAsia="es-ES"/>
        </w:rPr>
        <w:t xml:space="preserve"> </w:t>
      </w:r>
      <w:r w:rsidR="00366363" w:rsidRPr="00DB470C">
        <w:rPr>
          <w:lang w:val="es-ES_tradnl" w:eastAsia="es-ES"/>
        </w:rPr>
        <w:t>l</w:t>
      </w:r>
      <w:r w:rsidR="002837F0" w:rsidRPr="00DB470C">
        <w:rPr>
          <w:lang w:val="es-ES_tradnl" w:eastAsia="es-ES"/>
        </w:rPr>
        <w:t>os</w:t>
      </w:r>
      <w:r w:rsidR="00366363" w:rsidRPr="00DB470C">
        <w:rPr>
          <w:lang w:val="es-ES_tradnl" w:eastAsia="es-ES"/>
        </w:rPr>
        <w:t xml:space="preserve"> autor</w:t>
      </w:r>
      <w:r w:rsidR="002837F0" w:rsidRPr="00DB470C">
        <w:rPr>
          <w:lang w:val="es-ES_tradnl" w:eastAsia="es-ES"/>
        </w:rPr>
        <w:t>es</w:t>
      </w:r>
      <w:r w:rsidR="00366363" w:rsidRPr="00DB470C">
        <w:rPr>
          <w:lang w:val="es-ES_tradnl" w:eastAsia="es-ES"/>
        </w:rPr>
        <w:t xml:space="preserve"> basadas en los artículos </w:t>
      </w:r>
      <w:r w:rsidR="002837F0" w:rsidRPr="00DB470C">
        <w:rPr>
          <w:lang w:val="es-ES_tradnl"/>
        </w:rPr>
        <w:t xml:space="preserve">2 </w:t>
      </w:r>
      <w:r w:rsidR="00A55EDE" w:rsidRPr="00DB470C">
        <w:rPr>
          <w:lang w:val="es-ES"/>
        </w:rPr>
        <w:t xml:space="preserve">párrafo </w:t>
      </w:r>
      <w:r w:rsidR="002837F0" w:rsidRPr="00DB470C">
        <w:rPr>
          <w:lang w:val="es-ES_tradnl"/>
        </w:rPr>
        <w:t xml:space="preserve">3, 6, 7 y </w:t>
      </w:r>
      <w:r w:rsidRPr="00DB470C">
        <w:rPr>
          <w:lang w:val="es-ES_tradnl"/>
        </w:rPr>
        <w:t>17</w:t>
      </w:r>
      <w:r w:rsidR="002837F0" w:rsidRPr="00DB470C">
        <w:rPr>
          <w:lang w:val="es-ES_tradnl"/>
        </w:rPr>
        <w:t xml:space="preserve"> del Pacto </w:t>
      </w:r>
      <w:r w:rsidR="00366363" w:rsidRPr="00DB470C">
        <w:rPr>
          <w:lang w:val="es-ES_tradnl" w:eastAsia="es-ES"/>
        </w:rPr>
        <w:t xml:space="preserve">han sido suficientemente fundamentadas a los efectos de la admisibilidad, </w:t>
      </w:r>
      <w:r w:rsidR="00124BC8" w:rsidRPr="00DB470C">
        <w:rPr>
          <w:lang w:val="es-ES_tradnl" w:eastAsia="es-ES"/>
        </w:rPr>
        <w:t>el Comité declara la comunicación admisible y procede a examinarla en cuanto al fondo.</w:t>
      </w:r>
    </w:p>
    <w:p w:rsidR="00124BC8" w:rsidRDefault="00DE7918" w:rsidP="00DE7918">
      <w:pPr>
        <w:pStyle w:val="H4G"/>
        <w:rPr>
          <w:lang w:val="es-ES_tradnl" w:eastAsia="es-ES"/>
        </w:rPr>
      </w:pPr>
      <w:r>
        <w:rPr>
          <w:lang w:val="es-ES_tradnl" w:eastAsia="es-ES"/>
        </w:rPr>
        <w:tab/>
      </w:r>
      <w:r>
        <w:rPr>
          <w:lang w:val="es-ES_tradnl" w:eastAsia="es-ES"/>
        </w:rPr>
        <w:tab/>
      </w:r>
      <w:r w:rsidR="00217382" w:rsidRPr="00217382">
        <w:rPr>
          <w:lang w:val="es-ES_tradnl" w:eastAsia="es-ES"/>
        </w:rPr>
        <w:t>Examen de la cuestión en cuanto al fondo</w:t>
      </w:r>
    </w:p>
    <w:p w:rsidR="007D676C" w:rsidRDefault="00F604F1" w:rsidP="00AA4464">
      <w:pPr>
        <w:pStyle w:val="SingleTxtG"/>
        <w:rPr>
          <w:lang w:val="es-ES_tradnl" w:eastAsia="es-ES"/>
        </w:rPr>
      </w:pPr>
      <w:r>
        <w:rPr>
          <w:lang w:val="es-ES_tradnl" w:eastAsia="es-ES"/>
        </w:rPr>
        <w:t>7.1</w:t>
      </w:r>
      <w:r>
        <w:rPr>
          <w:lang w:val="es-ES_tradnl" w:eastAsia="es-ES"/>
        </w:rPr>
        <w:tab/>
      </w:r>
      <w:r w:rsidR="007E24FA" w:rsidRPr="007E24FA">
        <w:rPr>
          <w:lang w:val="es-ES_tradnl" w:eastAsia="es-ES"/>
        </w:rPr>
        <w:t>El Comité ha examinado la presente comunicación teniendo en cuenta toda la información que le han facilitado las partes, de conformidad con lo dispuesto en el artículo 5, párrafo 1, del Protocolo Facultativo</w:t>
      </w:r>
      <w:r w:rsidR="007E24FA">
        <w:rPr>
          <w:lang w:val="es-ES_tradnl" w:eastAsia="es-ES"/>
        </w:rPr>
        <w:t>.</w:t>
      </w:r>
    </w:p>
    <w:p w:rsidR="00A66667" w:rsidRPr="007D53FC" w:rsidRDefault="006D700B" w:rsidP="007D53FC">
      <w:pPr>
        <w:pStyle w:val="SingleTxtG"/>
        <w:rPr>
          <w:lang w:val="es-ES"/>
        </w:rPr>
      </w:pPr>
      <w:r>
        <w:rPr>
          <w:lang w:val="es-ES_tradnl" w:eastAsia="es-ES"/>
        </w:rPr>
        <w:t>7.2</w:t>
      </w:r>
      <w:r>
        <w:rPr>
          <w:lang w:val="es-ES_tradnl" w:eastAsia="es-ES"/>
        </w:rPr>
        <w:tab/>
      </w:r>
      <w:r w:rsidR="00FB167D">
        <w:rPr>
          <w:lang w:val="es-ES_tradnl" w:eastAsia="es-ES"/>
        </w:rPr>
        <w:t>E</w:t>
      </w:r>
      <w:r w:rsidRPr="006D700B">
        <w:rPr>
          <w:lang w:val="es-ES_tradnl" w:eastAsia="es-ES"/>
        </w:rPr>
        <w:t>l Comité toma nota de que los autores alegan que los hechos constituy</w:t>
      </w:r>
      <w:r w:rsidR="00BA43F7">
        <w:rPr>
          <w:lang w:val="es-ES_tradnl" w:eastAsia="es-ES"/>
        </w:rPr>
        <w:t>en una violación del artículo 6</w:t>
      </w:r>
      <w:r w:rsidRPr="006D700B">
        <w:rPr>
          <w:lang w:val="es-ES_tradnl" w:eastAsia="es-ES"/>
        </w:rPr>
        <w:t xml:space="preserve"> del Pacto, </w:t>
      </w:r>
      <w:r w:rsidR="00E57111">
        <w:rPr>
          <w:lang w:val="es-ES_tradnl" w:eastAsia="es-ES"/>
        </w:rPr>
        <w:t>tanto respecto del Sr. Portillo Cáceres quien falleció</w:t>
      </w:r>
      <w:r w:rsidR="00557E6B" w:rsidRPr="00557E6B">
        <w:rPr>
          <w:lang w:val="es-ES"/>
        </w:rPr>
        <w:t xml:space="preserve"> </w:t>
      </w:r>
      <w:r w:rsidR="00557E6B" w:rsidRPr="00557E6B">
        <w:rPr>
          <w:lang w:val="es-ES_tradnl" w:eastAsia="es-ES"/>
        </w:rPr>
        <w:t>con síntomas de intoxicación por agro-tóxicos</w:t>
      </w:r>
      <w:r w:rsidR="00E57111">
        <w:rPr>
          <w:lang w:val="es-ES_tradnl" w:eastAsia="es-ES"/>
        </w:rPr>
        <w:t>, como respecto de ellos mismos</w:t>
      </w:r>
      <w:r w:rsidR="0026395F">
        <w:rPr>
          <w:lang w:val="es-ES_tradnl" w:eastAsia="es-ES"/>
        </w:rPr>
        <w:t>,</w:t>
      </w:r>
      <w:r w:rsidR="0026395F" w:rsidRPr="0026395F">
        <w:rPr>
          <w:lang w:val="es-ES_tradnl" w:eastAsia="es-ES"/>
        </w:rPr>
        <w:t xml:space="preserve"> </w:t>
      </w:r>
      <w:r w:rsidR="0026395F">
        <w:rPr>
          <w:lang w:val="es-ES_tradnl" w:eastAsia="es-ES"/>
        </w:rPr>
        <w:t>por la</w:t>
      </w:r>
      <w:r w:rsidR="0026395F" w:rsidRPr="00E655C5">
        <w:rPr>
          <w:lang w:val="es-ES_tradnl" w:eastAsia="es-ES"/>
        </w:rPr>
        <w:t xml:space="preserve"> omisión del Estado en su deber de proteger</w:t>
      </w:r>
      <w:r w:rsidR="0026395F">
        <w:rPr>
          <w:lang w:val="es-ES_tradnl" w:eastAsia="es-ES"/>
        </w:rPr>
        <w:t xml:space="preserve">. Al respecto, </w:t>
      </w:r>
      <w:r w:rsidR="00831A7A">
        <w:rPr>
          <w:lang w:val="es-ES_tradnl" w:eastAsia="es-ES"/>
        </w:rPr>
        <w:t xml:space="preserve">alegan </w:t>
      </w:r>
      <w:r w:rsidR="00E57111">
        <w:rPr>
          <w:lang w:val="es-ES_tradnl" w:eastAsia="es-ES"/>
        </w:rPr>
        <w:t>la vulneración de su derecho a vivir una vida digna</w:t>
      </w:r>
      <w:r w:rsidR="004617F1">
        <w:rPr>
          <w:lang w:val="es-ES_tradnl" w:eastAsia="es-ES"/>
        </w:rPr>
        <w:t xml:space="preserve"> </w:t>
      </w:r>
      <w:r w:rsidR="00132B0B">
        <w:rPr>
          <w:lang w:val="es-ES_tradnl" w:eastAsia="es-ES"/>
        </w:rPr>
        <w:t>frente a</w:t>
      </w:r>
      <w:r w:rsidR="004617F1" w:rsidRPr="004617F1">
        <w:rPr>
          <w:lang w:val="es-ES_tradnl" w:eastAsia="es-ES"/>
        </w:rPr>
        <w:t xml:space="preserve"> fumigaciones </w:t>
      </w:r>
      <w:r w:rsidR="00831A7A">
        <w:rPr>
          <w:lang w:val="es-ES_tradnl" w:eastAsia="es-ES"/>
        </w:rPr>
        <w:t xml:space="preserve">constantes </w:t>
      </w:r>
      <w:r w:rsidR="004617F1" w:rsidRPr="004617F1">
        <w:rPr>
          <w:lang w:val="es-ES_tradnl" w:eastAsia="es-ES"/>
        </w:rPr>
        <w:t>que impactan negativamente su día a día</w:t>
      </w:r>
      <w:r w:rsidR="0026395F">
        <w:rPr>
          <w:lang w:val="es-ES_tradnl" w:eastAsia="es-ES"/>
        </w:rPr>
        <w:t>,</w:t>
      </w:r>
      <w:r w:rsidR="004617F1" w:rsidRPr="004617F1">
        <w:rPr>
          <w:lang w:val="es-ES_tradnl" w:eastAsia="es-ES"/>
        </w:rPr>
        <w:t xml:space="preserve"> </w:t>
      </w:r>
      <w:r w:rsidR="00A01089">
        <w:rPr>
          <w:lang w:val="es-ES_tradnl" w:eastAsia="es-ES"/>
        </w:rPr>
        <w:t>contaminando</w:t>
      </w:r>
      <w:r w:rsidR="004617F1" w:rsidRPr="004617F1">
        <w:rPr>
          <w:lang w:val="es-ES_tradnl" w:eastAsia="es-ES"/>
        </w:rPr>
        <w:t xml:space="preserve"> los cursos de agua de los que pescan, los pozos de los que beben, </w:t>
      </w:r>
      <w:r w:rsidR="00933F94">
        <w:rPr>
          <w:lang w:val="es-ES_tradnl" w:eastAsia="es-ES"/>
        </w:rPr>
        <w:t>los</w:t>
      </w:r>
      <w:r w:rsidR="004617F1" w:rsidRPr="004617F1">
        <w:rPr>
          <w:lang w:val="es-ES_tradnl" w:eastAsia="es-ES"/>
        </w:rPr>
        <w:t xml:space="preserve"> cultivos </w:t>
      </w:r>
      <w:r w:rsidR="00D808D9">
        <w:rPr>
          <w:lang w:val="es-ES_tradnl" w:eastAsia="es-ES"/>
        </w:rPr>
        <w:t xml:space="preserve">y </w:t>
      </w:r>
      <w:r w:rsidR="00D808D9" w:rsidRPr="004617F1">
        <w:rPr>
          <w:lang w:val="es-ES_tradnl" w:eastAsia="es-ES"/>
        </w:rPr>
        <w:t xml:space="preserve">animales de cría </w:t>
      </w:r>
      <w:r w:rsidR="004617F1" w:rsidRPr="004617F1">
        <w:rPr>
          <w:lang w:val="es-ES_tradnl" w:eastAsia="es-ES"/>
        </w:rPr>
        <w:t>de los que se alimentan, todo ello llevando a su intoxicación</w:t>
      </w:r>
      <w:r w:rsidR="0026395F">
        <w:rPr>
          <w:lang w:val="es-ES_tradnl" w:eastAsia="es-ES"/>
        </w:rPr>
        <w:t>, necesitando hospitalización</w:t>
      </w:r>
      <w:r w:rsidR="00A65660" w:rsidRPr="00A65660">
        <w:rPr>
          <w:lang w:val="es-ES_tradnl" w:eastAsia="es-ES"/>
        </w:rPr>
        <w:t xml:space="preserve"> por haber padecido </w:t>
      </w:r>
      <w:r w:rsidR="00CA25D4">
        <w:rPr>
          <w:lang w:val="es-ES_tradnl" w:eastAsia="es-ES"/>
        </w:rPr>
        <w:t xml:space="preserve">de </w:t>
      </w:r>
      <w:r w:rsidR="00A65660" w:rsidRPr="00A65660">
        <w:rPr>
          <w:lang w:val="es-ES_tradnl" w:eastAsia="es-ES"/>
        </w:rPr>
        <w:t xml:space="preserve">los mismos </w:t>
      </w:r>
      <w:r w:rsidR="00A65660" w:rsidRPr="00A65660">
        <w:rPr>
          <w:lang w:val="es-ES_tradnl" w:eastAsia="es-ES"/>
        </w:rPr>
        <w:lastRenderedPageBreak/>
        <w:t xml:space="preserve">síntomas que el Sr. Portillo Cáceres (náuseas, mareos, dolor de cabeza, fiebre, dolor estomacal, vómito, diarrea, tos </w:t>
      </w:r>
      <w:r w:rsidR="007E6CDB">
        <w:rPr>
          <w:lang w:val="es-ES_tradnl" w:eastAsia="es-ES"/>
        </w:rPr>
        <w:t xml:space="preserve">y lesiones en la piel). </w:t>
      </w:r>
      <w:r w:rsidR="00BA1118">
        <w:rPr>
          <w:lang w:val="es-ES_tradnl" w:eastAsia="es-ES"/>
        </w:rPr>
        <w:t>E</w:t>
      </w:r>
      <w:r w:rsidR="00BA1118" w:rsidRPr="00BA1118">
        <w:rPr>
          <w:lang w:val="es-ES_tradnl" w:eastAsia="es-ES"/>
        </w:rPr>
        <w:t xml:space="preserve">l </w:t>
      </w:r>
      <w:r w:rsidR="00831A7A">
        <w:rPr>
          <w:lang w:val="es-ES_tradnl" w:eastAsia="es-ES"/>
        </w:rPr>
        <w:t xml:space="preserve">Comité toma nota asimismo de que el </w:t>
      </w:r>
      <w:r w:rsidR="00BA1118" w:rsidRPr="00BA1118">
        <w:rPr>
          <w:lang w:val="es-ES_tradnl" w:eastAsia="es-ES"/>
        </w:rPr>
        <w:t>Estado parte sostiene que los autores no demostraron haber sido intoxicados por la acción de algún pesticida</w:t>
      </w:r>
      <w:r w:rsidR="00BA1118">
        <w:rPr>
          <w:lang w:val="es-ES_tradnl" w:eastAsia="es-ES"/>
        </w:rPr>
        <w:t xml:space="preserve">, y que </w:t>
      </w:r>
      <w:r w:rsidR="00311224">
        <w:rPr>
          <w:lang w:val="es-ES_tradnl" w:eastAsia="es-ES"/>
        </w:rPr>
        <w:t>el</w:t>
      </w:r>
      <w:r w:rsidR="00BA1118" w:rsidRPr="00BA1118">
        <w:rPr>
          <w:lang w:val="es-ES_tradnl" w:eastAsia="es-ES"/>
        </w:rPr>
        <w:t xml:space="preserve"> </w:t>
      </w:r>
      <w:proofErr w:type="spellStart"/>
      <w:r w:rsidR="00BA1118" w:rsidRPr="00BA1118">
        <w:rPr>
          <w:lang w:val="es-ES_tradnl" w:eastAsia="es-ES"/>
        </w:rPr>
        <w:t>Lindano</w:t>
      </w:r>
      <w:proofErr w:type="spellEnd"/>
      <w:r w:rsidR="00306F00">
        <w:rPr>
          <w:lang w:val="es-ES_tradnl" w:eastAsia="es-ES"/>
        </w:rPr>
        <w:t xml:space="preserve"> es el</w:t>
      </w:r>
      <w:r w:rsidR="00BA1118">
        <w:rPr>
          <w:lang w:val="es-ES_tradnl" w:eastAsia="es-ES"/>
        </w:rPr>
        <w:t xml:space="preserve"> </w:t>
      </w:r>
      <w:r w:rsidR="00BA1118" w:rsidRPr="008B0A05">
        <w:rPr>
          <w:lang w:val="es-ES_tradnl" w:eastAsia="es-ES"/>
        </w:rPr>
        <w:t>único agro-tóxico que se encontró con una concentración superior al límite máximo establecido</w:t>
      </w:r>
      <w:r w:rsidR="00BA1118">
        <w:rPr>
          <w:lang w:val="es-ES_tradnl" w:eastAsia="es-ES"/>
        </w:rPr>
        <w:t>. Sin embargo,</w:t>
      </w:r>
      <w:r w:rsidR="007706D3" w:rsidRPr="007706D3">
        <w:rPr>
          <w:lang w:val="es-ES_tradnl" w:eastAsia="es-ES"/>
        </w:rPr>
        <w:t xml:space="preserve"> </w:t>
      </w:r>
      <w:r w:rsidR="00BA1118" w:rsidRPr="008B0A05">
        <w:rPr>
          <w:lang w:val="es-ES_tradnl" w:eastAsia="es-ES"/>
        </w:rPr>
        <w:t xml:space="preserve">el Comité observa </w:t>
      </w:r>
      <w:r w:rsidR="00BA1118">
        <w:rPr>
          <w:lang w:val="es-ES_tradnl" w:eastAsia="es-ES"/>
        </w:rPr>
        <w:t>que el</w:t>
      </w:r>
      <w:r w:rsidR="00BA1118" w:rsidRPr="008B0A05">
        <w:rPr>
          <w:lang w:val="es-ES_tradnl" w:eastAsia="es-ES"/>
        </w:rPr>
        <w:t xml:space="preserve"> informe del Ministerio Público de interpretación de resultados de los análisis de las muestras de agua</w:t>
      </w:r>
      <w:r w:rsidR="00AA5957">
        <w:rPr>
          <w:lang w:val="es-ES_tradnl" w:eastAsia="es-ES"/>
        </w:rPr>
        <w:t xml:space="preserve"> </w:t>
      </w:r>
      <w:r w:rsidR="006E1CC5">
        <w:rPr>
          <w:lang w:val="es-ES_tradnl" w:eastAsia="es-ES"/>
        </w:rPr>
        <w:t>tomadas del pozo de uso doméstico de la vivienda del Sr. Portillo</w:t>
      </w:r>
      <w:r w:rsidR="00DF4391">
        <w:rPr>
          <w:lang w:val="es-ES_tradnl" w:eastAsia="es-ES"/>
        </w:rPr>
        <w:t xml:space="preserve"> Cáceres</w:t>
      </w:r>
      <w:r w:rsidR="00620E90">
        <w:rPr>
          <w:lang w:val="es-ES_tradnl" w:eastAsia="es-ES"/>
        </w:rPr>
        <w:t>,</w:t>
      </w:r>
      <w:r w:rsidR="006E1CC5">
        <w:rPr>
          <w:lang w:val="es-ES_tradnl" w:eastAsia="es-ES"/>
        </w:rPr>
        <w:t xml:space="preserve"> </w:t>
      </w:r>
      <w:r w:rsidR="00BA1118" w:rsidRPr="008B0A05">
        <w:rPr>
          <w:lang w:val="es-ES_tradnl" w:eastAsia="es-ES"/>
        </w:rPr>
        <w:t>indic</w:t>
      </w:r>
      <w:r w:rsidR="006E1CC5">
        <w:rPr>
          <w:lang w:val="es-ES_tradnl" w:eastAsia="es-ES"/>
        </w:rPr>
        <w:t>ó la presencia de</w:t>
      </w:r>
      <w:r w:rsidR="00BA1118" w:rsidRPr="008B0A05">
        <w:rPr>
          <w:lang w:val="es-ES_tradnl" w:eastAsia="es-ES"/>
        </w:rPr>
        <w:t xml:space="preserve"> </w:t>
      </w:r>
      <w:proofErr w:type="spellStart"/>
      <w:r w:rsidR="00BA1118">
        <w:rPr>
          <w:lang w:val="es-ES_tradnl" w:eastAsia="es-ES"/>
        </w:rPr>
        <w:t>Aldrin</w:t>
      </w:r>
      <w:proofErr w:type="spellEnd"/>
      <w:r w:rsidR="00BA1118">
        <w:rPr>
          <w:lang w:val="es-ES_tradnl" w:eastAsia="es-ES"/>
        </w:rPr>
        <w:t xml:space="preserve"> y </w:t>
      </w:r>
      <w:proofErr w:type="spellStart"/>
      <w:r w:rsidR="00BA1118">
        <w:rPr>
          <w:lang w:val="es-ES_tradnl" w:eastAsia="es-ES"/>
        </w:rPr>
        <w:t>Lindano</w:t>
      </w:r>
      <w:proofErr w:type="spellEnd"/>
      <w:r w:rsidR="00BA1118" w:rsidRPr="008B0A05">
        <w:rPr>
          <w:lang w:val="es-ES_tradnl" w:eastAsia="es-ES"/>
        </w:rPr>
        <w:t xml:space="preserve">, </w:t>
      </w:r>
      <w:r w:rsidR="006E1CC5">
        <w:rPr>
          <w:lang w:val="es-ES_tradnl" w:eastAsia="es-ES"/>
        </w:rPr>
        <w:t>plaguicida e insecticida prohibidos por la legislación interna.</w:t>
      </w:r>
      <w:r w:rsidR="00BA1118">
        <w:rPr>
          <w:lang w:val="es-ES_tradnl" w:eastAsia="es-ES"/>
        </w:rPr>
        <w:t xml:space="preserve"> A</w:t>
      </w:r>
      <w:r w:rsidR="00AA5957">
        <w:rPr>
          <w:lang w:val="es-ES_tradnl" w:eastAsia="es-ES"/>
        </w:rPr>
        <w:t xml:space="preserve">simismo, el Comité observa </w:t>
      </w:r>
      <w:r w:rsidR="00DF4391">
        <w:rPr>
          <w:lang w:val="es-ES_tradnl" w:eastAsia="es-ES"/>
        </w:rPr>
        <w:t xml:space="preserve">que nunca se practicó la autopsia del Sr. Portillo Cáceres a pesar de haber sido requerida en cuatro ocasiones a los efectos de determinar la existencia de trazos de agroquímicos en los órganos internos; </w:t>
      </w:r>
      <w:r w:rsidR="00AA5957">
        <w:rPr>
          <w:lang w:val="es-ES_tradnl" w:eastAsia="es-ES"/>
        </w:rPr>
        <w:t>que</w:t>
      </w:r>
      <w:r w:rsidR="00EE25C1">
        <w:rPr>
          <w:lang w:val="es-ES_tradnl" w:eastAsia="es-ES"/>
        </w:rPr>
        <w:t xml:space="preserve"> </w:t>
      </w:r>
      <w:r w:rsidR="00910392" w:rsidRPr="00910392">
        <w:rPr>
          <w:lang w:val="es-ES_tradnl" w:eastAsia="es-ES"/>
        </w:rPr>
        <w:t xml:space="preserve">las historias clínicas </w:t>
      </w:r>
      <w:r w:rsidR="006E1CC5">
        <w:rPr>
          <w:lang w:val="es-ES_tradnl" w:eastAsia="es-ES"/>
        </w:rPr>
        <w:t xml:space="preserve">de los </w:t>
      </w:r>
      <w:r w:rsidR="00CA2479">
        <w:rPr>
          <w:lang w:val="es-ES_tradnl" w:eastAsia="es-ES"/>
        </w:rPr>
        <w:t xml:space="preserve">autores </w:t>
      </w:r>
      <w:r w:rsidR="00910392" w:rsidRPr="00910392">
        <w:rPr>
          <w:lang w:val="es-ES_tradnl" w:eastAsia="es-ES"/>
        </w:rPr>
        <w:t xml:space="preserve">y los resultados de </w:t>
      </w:r>
      <w:r w:rsidR="00CA2479">
        <w:rPr>
          <w:lang w:val="es-ES_tradnl" w:eastAsia="es-ES"/>
        </w:rPr>
        <w:t>sus</w:t>
      </w:r>
      <w:r w:rsidR="00CA2479" w:rsidRPr="00910392">
        <w:rPr>
          <w:lang w:val="es-ES_tradnl" w:eastAsia="es-ES"/>
        </w:rPr>
        <w:t xml:space="preserve"> </w:t>
      </w:r>
      <w:r w:rsidR="00910392" w:rsidRPr="00910392">
        <w:rPr>
          <w:lang w:val="es-ES_tradnl" w:eastAsia="es-ES"/>
        </w:rPr>
        <w:t xml:space="preserve">análisis </w:t>
      </w:r>
      <w:r w:rsidR="006E1CC5">
        <w:rPr>
          <w:lang w:val="es-ES_tradnl" w:eastAsia="es-ES"/>
        </w:rPr>
        <w:t xml:space="preserve">de sangre y orina </w:t>
      </w:r>
      <w:r w:rsidR="00910392" w:rsidRPr="00910392">
        <w:rPr>
          <w:lang w:val="es-ES_tradnl" w:eastAsia="es-ES"/>
        </w:rPr>
        <w:t>nunca fueron incorporados al expediente</w:t>
      </w:r>
      <w:r w:rsidR="00DF4391">
        <w:rPr>
          <w:lang w:val="es-ES_tradnl" w:eastAsia="es-ES"/>
        </w:rPr>
        <w:t>;</w:t>
      </w:r>
      <w:r w:rsidR="00910392">
        <w:rPr>
          <w:lang w:val="es-ES_tradnl" w:eastAsia="es-ES"/>
        </w:rPr>
        <w:t xml:space="preserve"> y que </w:t>
      </w:r>
      <w:r w:rsidR="00BA1118">
        <w:rPr>
          <w:lang w:val="es-ES_tradnl" w:eastAsia="es-ES"/>
        </w:rPr>
        <w:t xml:space="preserve">el Estado </w:t>
      </w:r>
      <w:r w:rsidR="007706D3" w:rsidRPr="007706D3">
        <w:rPr>
          <w:lang w:val="es-ES_tradnl" w:eastAsia="es-ES"/>
        </w:rPr>
        <w:t xml:space="preserve">parte no </w:t>
      </w:r>
      <w:r w:rsidR="00AA5957">
        <w:rPr>
          <w:lang w:val="es-ES_tradnl" w:eastAsia="es-ES"/>
        </w:rPr>
        <w:t>ha aportado prueba alguna</w:t>
      </w:r>
      <w:r w:rsidR="007706D3" w:rsidRPr="007706D3">
        <w:rPr>
          <w:lang w:val="es-ES_tradnl" w:eastAsia="es-ES"/>
        </w:rPr>
        <w:t xml:space="preserve"> que </w:t>
      </w:r>
      <w:r w:rsidR="00AA5957">
        <w:rPr>
          <w:lang w:val="es-ES_tradnl" w:eastAsia="es-ES"/>
        </w:rPr>
        <w:t>demuestre que</w:t>
      </w:r>
      <w:r w:rsidR="007706D3" w:rsidRPr="007706D3">
        <w:rPr>
          <w:lang w:val="es-ES_tradnl" w:eastAsia="es-ES"/>
        </w:rPr>
        <w:t xml:space="preserve"> los análisis de sangre </w:t>
      </w:r>
      <w:r w:rsidR="007706D3">
        <w:rPr>
          <w:lang w:val="es-ES_tradnl" w:eastAsia="es-ES"/>
        </w:rPr>
        <w:t xml:space="preserve">y orina </w:t>
      </w:r>
      <w:r w:rsidR="007706D3" w:rsidRPr="007706D3">
        <w:rPr>
          <w:lang w:val="es-ES_tradnl" w:eastAsia="es-ES"/>
        </w:rPr>
        <w:t>arrojaron valores dentro de los parámetros normales</w:t>
      </w:r>
      <w:r w:rsidR="008B0A05" w:rsidRPr="008B0A05">
        <w:rPr>
          <w:lang w:val="es-ES_tradnl" w:eastAsia="es-ES"/>
        </w:rPr>
        <w:t>.</w:t>
      </w:r>
      <w:r w:rsidR="00910392" w:rsidRPr="00910392">
        <w:rPr>
          <w:lang w:val="es-ES"/>
        </w:rPr>
        <w:t xml:space="preserve"> </w:t>
      </w:r>
      <w:r w:rsidR="00162041">
        <w:rPr>
          <w:lang w:val="es-ES"/>
        </w:rPr>
        <w:t xml:space="preserve">El Comité recuerda </w:t>
      </w:r>
      <w:r w:rsidR="00162041" w:rsidRPr="00162041">
        <w:rPr>
          <w:lang w:val="es-ES"/>
        </w:rPr>
        <w:t xml:space="preserve">que la carga de la prueba no recae únicamente en </w:t>
      </w:r>
      <w:r w:rsidR="00162041">
        <w:rPr>
          <w:lang w:val="es-ES"/>
        </w:rPr>
        <w:t>los</w:t>
      </w:r>
      <w:r w:rsidR="00162041" w:rsidRPr="00162041">
        <w:rPr>
          <w:lang w:val="es-ES"/>
        </w:rPr>
        <w:t xml:space="preserve"> autor</w:t>
      </w:r>
      <w:r w:rsidR="00162041">
        <w:rPr>
          <w:lang w:val="es-ES"/>
        </w:rPr>
        <w:t>es</w:t>
      </w:r>
      <w:r w:rsidR="00162041" w:rsidRPr="00162041">
        <w:rPr>
          <w:lang w:val="es-ES"/>
        </w:rPr>
        <w:t xml:space="preserve"> de una comunicación, tanto más por cuanto </w:t>
      </w:r>
      <w:r w:rsidR="00162041">
        <w:rPr>
          <w:lang w:val="es-ES"/>
        </w:rPr>
        <w:t>los autores</w:t>
      </w:r>
      <w:r w:rsidR="00162041" w:rsidRPr="00162041">
        <w:rPr>
          <w:lang w:val="es-ES"/>
        </w:rPr>
        <w:t xml:space="preserve"> y el Estado Parte no siempre gozan del mismo acceso a los elementos de prueba y porque a menudo el Estado Parte es el único que dispone de la información necesaria.</w:t>
      </w:r>
      <w:r w:rsidR="00162041">
        <w:rPr>
          <w:lang w:val="es-ES"/>
        </w:rPr>
        <w:t xml:space="preserve"> </w:t>
      </w:r>
      <w:r w:rsidR="00DF202A" w:rsidRPr="00DF202A">
        <w:rPr>
          <w:lang w:val="es-ES"/>
        </w:rPr>
        <w:t xml:space="preserve">En los casos en que </w:t>
      </w:r>
      <w:r w:rsidR="00DF202A">
        <w:rPr>
          <w:lang w:val="es-ES"/>
        </w:rPr>
        <w:t>la</w:t>
      </w:r>
      <w:r w:rsidR="00DF202A" w:rsidRPr="00DF202A">
        <w:rPr>
          <w:lang w:val="es-ES"/>
        </w:rPr>
        <w:t xml:space="preserve"> aclaración dependa de información de que sólo disponga el Estado Parte, el Comité podrá considerar que las alegaciones son fundadas si el Estado Parte no las refuta aportando pruebas y explicaciones satisfactorias</w:t>
      </w:r>
      <w:r w:rsidR="00DF202A">
        <w:rPr>
          <w:lang w:val="es-ES"/>
        </w:rPr>
        <w:t>.</w:t>
      </w:r>
      <w:r w:rsidR="00DF202A">
        <w:rPr>
          <w:rStyle w:val="FootnoteReference"/>
          <w:lang w:val="es-ES"/>
        </w:rPr>
        <w:footnoteReference w:id="42"/>
      </w:r>
    </w:p>
    <w:p w:rsidR="00323B25" w:rsidRPr="00B26BA1" w:rsidRDefault="00A66667" w:rsidP="00AA5957">
      <w:pPr>
        <w:pStyle w:val="SingleTxtG"/>
        <w:rPr>
          <w:lang w:val="es-ES_tradnl" w:eastAsia="es-ES"/>
        </w:rPr>
      </w:pPr>
      <w:r>
        <w:rPr>
          <w:lang w:val="es-ES_tradnl" w:eastAsia="es-ES"/>
        </w:rPr>
        <w:t>7.3</w:t>
      </w:r>
      <w:r>
        <w:rPr>
          <w:lang w:val="es-ES_tradnl" w:eastAsia="es-ES"/>
        </w:rPr>
        <w:tab/>
      </w:r>
      <w:r w:rsidR="00FC38F1" w:rsidRPr="00FC38F1">
        <w:rPr>
          <w:lang w:val="es-ES_tradnl" w:eastAsia="es-ES"/>
        </w:rPr>
        <w:t xml:space="preserve">El Comité recuerda que el derecho a la vida </w:t>
      </w:r>
      <w:r w:rsidR="00996EB9" w:rsidRPr="00996EB9">
        <w:rPr>
          <w:lang w:val="es-ES_tradnl" w:eastAsia="es-ES"/>
        </w:rPr>
        <w:t xml:space="preserve">no puede entenderse correctamente </w:t>
      </w:r>
      <w:r w:rsidR="00996EB9">
        <w:rPr>
          <w:lang w:val="es-ES_tradnl" w:eastAsia="es-ES"/>
        </w:rPr>
        <w:t xml:space="preserve">si es </w:t>
      </w:r>
      <w:r w:rsidR="00A23FE2" w:rsidRPr="00FC38F1">
        <w:rPr>
          <w:lang w:val="es-ES_tradnl" w:eastAsia="es-ES"/>
        </w:rPr>
        <w:t xml:space="preserve">interpretado </w:t>
      </w:r>
      <w:r w:rsidR="00FC38F1" w:rsidRPr="00FC38F1">
        <w:rPr>
          <w:lang w:val="es-ES_tradnl" w:eastAsia="es-ES"/>
        </w:rPr>
        <w:t xml:space="preserve">en forma restrictiva </w:t>
      </w:r>
      <w:r w:rsidR="00FA63C7">
        <w:rPr>
          <w:lang w:val="es-ES_tradnl" w:eastAsia="es-ES"/>
        </w:rPr>
        <w:t>y que</w:t>
      </w:r>
      <w:r w:rsidR="00FC38F1" w:rsidRPr="00FC38F1">
        <w:rPr>
          <w:lang w:val="es-ES_tradnl" w:eastAsia="es-ES"/>
        </w:rPr>
        <w:t xml:space="preserve"> la protección de ese derecho exige que los Estados adopten</w:t>
      </w:r>
      <w:r w:rsidR="00180862">
        <w:rPr>
          <w:lang w:val="es-ES_tradnl" w:eastAsia="es-ES"/>
        </w:rPr>
        <w:t xml:space="preserve"> medidas positivas.</w:t>
      </w:r>
      <w:r w:rsidR="00CB7600" w:rsidRPr="00FC38F1">
        <w:rPr>
          <w:rStyle w:val="FootnoteReference"/>
          <w:lang w:val="es-ES_tradnl" w:eastAsia="es-ES"/>
        </w:rPr>
        <w:footnoteReference w:id="43"/>
      </w:r>
      <w:r w:rsidR="00AA5957" w:rsidDel="00AA5957">
        <w:rPr>
          <w:lang w:val="es-ES_tradnl" w:eastAsia="es-ES"/>
        </w:rPr>
        <w:t xml:space="preserve"> </w:t>
      </w:r>
      <w:r w:rsidR="006F23F5">
        <w:rPr>
          <w:lang w:val="es-ES_tradnl" w:eastAsia="es-ES"/>
        </w:rPr>
        <w:t>Asimismo, el Comité</w:t>
      </w:r>
      <w:r w:rsidR="006F23F5" w:rsidRPr="006F23F5">
        <w:rPr>
          <w:lang w:val="es-ES"/>
        </w:rPr>
        <w:t xml:space="preserve"> </w:t>
      </w:r>
      <w:r w:rsidR="006F23F5" w:rsidRPr="006F23F5">
        <w:rPr>
          <w:lang w:val="es-ES_tradnl" w:eastAsia="es-ES"/>
        </w:rPr>
        <w:t>recuerda su Observación general número 36</w:t>
      </w:r>
      <w:r w:rsidR="00B26BA1">
        <w:rPr>
          <w:lang w:val="es-ES_tradnl" w:eastAsia="es-ES"/>
        </w:rPr>
        <w:t>,</w:t>
      </w:r>
      <w:r w:rsidR="006F23F5" w:rsidRPr="006F23F5">
        <w:rPr>
          <w:lang w:val="es-ES_tradnl" w:eastAsia="es-ES"/>
        </w:rPr>
        <w:t xml:space="preserve"> en la que estableció que</w:t>
      </w:r>
      <w:r w:rsidR="006F23F5">
        <w:rPr>
          <w:lang w:val="es-ES_tradnl" w:eastAsia="es-ES"/>
        </w:rPr>
        <w:t xml:space="preserve"> </w:t>
      </w:r>
      <w:r w:rsidR="006F23F5" w:rsidRPr="006F23F5">
        <w:rPr>
          <w:rFonts w:eastAsia="Times New Roman"/>
          <w:lang w:val="es-ES_tradnl" w:eastAsia="en-US"/>
        </w:rPr>
        <w:t xml:space="preserve">el derecho a la vida también se refiere </w:t>
      </w:r>
      <w:r w:rsidR="00B26BA1" w:rsidRPr="006F23F5">
        <w:rPr>
          <w:rFonts w:eastAsia="Times New Roman"/>
          <w:lang w:val="es-ES_tradnl" w:eastAsia="en-US"/>
        </w:rPr>
        <w:t xml:space="preserve">al derecho </w:t>
      </w:r>
      <w:r w:rsidR="00831A7A">
        <w:rPr>
          <w:rFonts w:eastAsia="Times New Roman"/>
          <w:lang w:val="es-ES_tradnl" w:eastAsia="en-US"/>
        </w:rPr>
        <w:t>a</w:t>
      </w:r>
      <w:r w:rsidR="00831A7A" w:rsidRPr="006F23F5">
        <w:rPr>
          <w:rFonts w:eastAsia="Times New Roman"/>
          <w:lang w:val="es-ES_tradnl" w:eastAsia="en-US"/>
        </w:rPr>
        <w:t xml:space="preserve"> </w:t>
      </w:r>
      <w:r w:rsidR="00B26BA1" w:rsidRPr="006F23F5">
        <w:rPr>
          <w:rFonts w:eastAsia="Times New Roman"/>
          <w:lang w:val="es-ES_tradnl" w:eastAsia="en-US"/>
        </w:rPr>
        <w:t>disfrutar de una vida digna</w:t>
      </w:r>
      <w:r w:rsidR="00D14F52">
        <w:rPr>
          <w:rFonts w:eastAsia="Times New Roman"/>
          <w:lang w:val="es-ES_tradnl" w:eastAsia="en-US"/>
        </w:rPr>
        <w:t xml:space="preserve"> </w:t>
      </w:r>
      <w:r w:rsidR="00E12BDC">
        <w:rPr>
          <w:rFonts w:eastAsia="Times New Roman"/>
          <w:lang w:val="es-ES_tradnl" w:eastAsia="en-US"/>
        </w:rPr>
        <w:t>y</w:t>
      </w:r>
      <w:r w:rsidR="00B26BA1" w:rsidRPr="006F23F5">
        <w:rPr>
          <w:rFonts w:eastAsia="Times New Roman"/>
          <w:lang w:val="es-ES_tradnl" w:eastAsia="en-US"/>
        </w:rPr>
        <w:t xml:space="preserve"> </w:t>
      </w:r>
      <w:r w:rsidR="00B26BA1">
        <w:rPr>
          <w:rFonts w:eastAsia="Times New Roman"/>
          <w:lang w:val="es-ES_tradnl" w:eastAsia="en-US"/>
        </w:rPr>
        <w:t>a</w:t>
      </w:r>
      <w:r w:rsidR="006F23F5" w:rsidRPr="006F23F5">
        <w:rPr>
          <w:rFonts w:eastAsia="Times New Roman"/>
          <w:lang w:val="es-ES_tradnl" w:eastAsia="en-US"/>
        </w:rPr>
        <w:t xml:space="preserve"> no ser objeto de acciones u omisiones que causen una muerte prematura o no natural</w:t>
      </w:r>
      <w:r w:rsidR="009E2E9A">
        <w:rPr>
          <w:rFonts w:eastAsia="Times New Roman"/>
          <w:lang w:val="es-ES_tradnl" w:eastAsia="en-US"/>
        </w:rPr>
        <w:t>,</w:t>
      </w:r>
      <w:r w:rsidR="00323B25">
        <w:rPr>
          <w:rStyle w:val="FootnoteReference"/>
          <w:rFonts w:eastAsia="Times New Roman"/>
          <w:lang w:val="es-ES_tradnl" w:eastAsia="en-US"/>
        </w:rPr>
        <w:footnoteReference w:id="44"/>
      </w:r>
      <w:r w:rsidR="00B26BA1">
        <w:rPr>
          <w:lang w:val="es-ES_tradnl" w:eastAsia="es-ES"/>
        </w:rPr>
        <w:t xml:space="preserve"> </w:t>
      </w:r>
      <w:r w:rsidR="009E2E9A">
        <w:rPr>
          <w:rFonts w:eastAsia="Times New Roman"/>
          <w:lang w:val="es-ES_tradnl" w:eastAsia="en-US"/>
        </w:rPr>
        <w:t>debiendo</w:t>
      </w:r>
      <w:r w:rsidR="006C2B34">
        <w:rPr>
          <w:rFonts w:eastAsia="Times New Roman"/>
          <w:lang w:val="es-ES_tradnl" w:eastAsia="en-US"/>
        </w:rPr>
        <w:t xml:space="preserve"> l</w:t>
      </w:r>
      <w:r w:rsidR="00323B25" w:rsidRPr="006F23F5">
        <w:rPr>
          <w:rFonts w:eastAsia="Times New Roman"/>
          <w:lang w:val="es-ES_tradnl" w:eastAsia="en-US"/>
        </w:rPr>
        <w:t xml:space="preserve">os Estados adoptar todas las medidas apropiadas para hacer frente a las condiciones generales de la sociedad que puedan dar lugar a amenazas </w:t>
      </w:r>
      <w:r w:rsidR="002F0062">
        <w:rPr>
          <w:rFonts w:eastAsia="Times New Roman"/>
          <w:lang w:val="es-ES_tradnl" w:eastAsia="en-US"/>
        </w:rPr>
        <w:t>del</w:t>
      </w:r>
      <w:r w:rsidR="00323B25" w:rsidRPr="006F23F5">
        <w:rPr>
          <w:rFonts w:eastAsia="Times New Roman"/>
          <w:lang w:val="es-ES_tradnl" w:eastAsia="en-US"/>
        </w:rPr>
        <w:t xml:space="preserve"> derecho a la vida o impedir que las personas disfruten de su derecho a la vida con dignidad, condiciones entre las cuales figura la contaminación del medio ambiente.</w:t>
      </w:r>
      <w:r w:rsidR="00323B25" w:rsidRPr="006F23F5">
        <w:rPr>
          <w:rFonts w:eastAsia="Times New Roman"/>
          <w:sz w:val="18"/>
          <w:vertAlign w:val="superscript"/>
          <w:lang w:val="es-ES_tradnl" w:eastAsia="en-US"/>
        </w:rPr>
        <w:footnoteReference w:id="45"/>
      </w:r>
      <w:r w:rsidR="00323B25" w:rsidRPr="006F23F5">
        <w:rPr>
          <w:rFonts w:eastAsia="Times New Roman"/>
          <w:lang w:val="es-ES_tradnl" w:eastAsia="en-US"/>
        </w:rPr>
        <w:t xml:space="preserve"> </w:t>
      </w:r>
      <w:r w:rsidR="0067199A">
        <w:rPr>
          <w:rFonts w:eastAsia="Times New Roman"/>
          <w:lang w:val="es-ES_tradnl" w:eastAsia="en-US"/>
        </w:rPr>
        <w:t xml:space="preserve">Al respecto, el Comité observa que </w:t>
      </w:r>
      <w:r w:rsidR="007A3BD8">
        <w:rPr>
          <w:rFonts w:eastAsia="Times New Roman"/>
          <w:lang w:val="es-ES_tradnl" w:eastAsia="en-US"/>
        </w:rPr>
        <w:t xml:space="preserve">el Estado parte está también vinculado </w:t>
      </w:r>
      <w:r w:rsidR="00F40B50">
        <w:rPr>
          <w:rFonts w:eastAsia="Times New Roman"/>
          <w:lang w:val="es-ES_tradnl" w:eastAsia="en-US"/>
        </w:rPr>
        <w:t xml:space="preserve">por </w:t>
      </w:r>
      <w:r w:rsidR="00C874E7">
        <w:rPr>
          <w:rFonts w:eastAsia="Times New Roman"/>
          <w:lang w:val="es-ES_tradnl" w:eastAsia="en-US"/>
        </w:rPr>
        <w:t xml:space="preserve">el </w:t>
      </w:r>
      <w:r w:rsidR="00C874E7" w:rsidRPr="008B6622">
        <w:rPr>
          <w:rFonts w:eastAsia="Times New Roman"/>
          <w:lang w:val="es-ES_tradnl" w:eastAsia="en-US"/>
        </w:rPr>
        <w:t>Convenio de Estocolmo</w:t>
      </w:r>
      <w:r w:rsidR="00C874E7">
        <w:rPr>
          <w:rFonts w:eastAsia="Times New Roman"/>
          <w:lang w:val="es-ES_tradnl" w:eastAsia="en-US"/>
        </w:rPr>
        <w:t xml:space="preserve"> sobre </w:t>
      </w:r>
      <w:r w:rsidR="00C874E7" w:rsidRPr="008B6622">
        <w:rPr>
          <w:rFonts w:eastAsia="Times New Roman"/>
          <w:lang w:val="es-ES_tradnl" w:eastAsia="en-US"/>
        </w:rPr>
        <w:t>Contaminantes Orgánicos Persistentes</w:t>
      </w:r>
      <w:r w:rsidR="003F2D8F">
        <w:rPr>
          <w:rFonts w:eastAsia="Times New Roman"/>
          <w:lang w:val="es-ES_tradnl" w:eastAsia="en-US"/>
        </w:rPr>
        <w:t xml:space="preserve">. </w:t>
      </w:r>
      <w:r w:rsidR="00505ED0">
        <w:rPr>
          <w:lang w:val="es-ES" w:eastAsia="es-ES"/>
        </w:rPr>
        <w:t>Asimismo</w:t>
      </w:r>
      <w:r w:rsidR="00505ED0" w:rsidRPr="009336F5">
        <w:rPr>
          <w:lang w:val="es-ES" w:eastAsia="es-ES"/>
        </w:rPr>
        <w:t>, el Comité recuerda que los Estados partes pueden estar violando el artículo 6</w:t>
      </w:r>
      <w:r w:rsidR="00D4326F">
        <w:rPr>
          <w:lang w:val="es-ES" w:eastAsia="es-ES"/>
        </w:rPr>
        <w:t xml:space="preserve"> del Pacto,</w:t>
      </w:r>
      <w:r w:rsidR="00505ED0" w:rsidRPr="009336F5">
        <w:rPr>
          <w:lang w:val="es-ES" w:eastAsia="es-ES"/>
        </w:rPr>
        <w:t xml:space="preserve"> incluso </w:t>
      </w:r>
      <w:r w:rsidR="00C3642B">
        <w:rPr>
          <w:lang w:val="es-ES" w:eastAsia="es-ES"/>
        </w:rPr>
        <w:t>cuando</w:t>
      </w:r>
      <w:r w:rsidR="00505ED0" w:rsidRPr="009336F5">
        <w:rPr>
          <w:lang w:val="es-ES" w:eastAsia="es-ES"/>
        </w:rPr>
        <w:t xml:space="preserve"> esas amenazas y situacione</w:t>
      </w:r>
      <w:r w:rsidR="00505ED0">
        <w:rPr>
          <w:lang w:val="es-ES" w:eastAsia="es-ES"/>
        </w:rPr>
        <w:t xml:space="preserve">s </w:t>
      </w:r>
      <w:r w:rsidR="00505ED0" w:rsidRPr="00C21406">
        <w:rPr>
          <w:lang w:val="es-ES" w:eastAsia="es-ES"/>
        </w:rPr>
        <w:t>no se hayan traducido en la pérdida de vidas</w:t>
      </w:r>
      <w:r w:rsidR="00505ED0">
        <w:rPr>
          <w:lang w:val="es-ES" w:eastAsia="es-ES"/>
        </w:rPr>
        <w:t>.</w:t>
      </w:r>
      <w:r w:rsidR="00505ED0" w:rsidRPr="009336F5">
        <w:rPr>
          <w:rStyle w:val="FootnoteReference"/>
          <w:lang w:val="es-ES" w:eastAsia="es-ES"/>
        </w:rPr>
        <w:footnoteReference w:id="46"/>
      </w:r>
    </w:p>
    <w:p w:rsidR="001A709B" w:rsidRDefault="00AF3DE3" w:rsidP="00C21406">
      <w:pPr>
        <w:pStyle w:val="SingleTxtG"/>
        <w:rPr>
          <w:lang w:val="es-ES" w:eastAsia="es-ES"/>
        </w:rPr>
      </w:pPr>
      <w:r>
        <w:rPr>
          <w:lang w:val="es-ES_tradnl" w:eastAsia="es-ES"/>
        </w:rPr>
        <w:lastRenderedPageBreak/>
        <w:t>7.</w:t>
      </w:r>
      <w:r w:rsidR="00AA5957">
        <w:rPr>
          <w:lang w:val="es-ES_tradnl" w:eastAsia="es-ES"/>
        </w:rPr>
        <w:t>4</w:t>
      </w:r>
      <w:r>
        <w:rPr>
          <w:lang w:val="es-ES_tradnl" w:eastAsia="es-ES"/>
        </w:rPr>
        <w:tab/>
      </w:r>
      <w:r w:rsidR="001A709B">
        <w:rPr>
          <w:lang w:val="es-ES" w:eastAsia="es-ES"/>
        </w:rPr>
        <w:t>El Comité observa también los desarrollos existentes en la materia en otras instancias internacionales, en las que se reconoció que existe</w:t>
      </w:r>
      <w:r w:rsidR="001A709B" w:rsidRPr="00C874E0">
        <w:rPr>
          <w:lang w:val="es-ES" w:eastAsia="es-ES"/>
        </w:rPr>
        <w:t xml:space="preserve"> una relación innegable entre la protección del medio ambiente y la realización de </w:t>
      </w:r>
      <w:r w:rsidR="002B466D">
        <w:rPr>
          <w:lang w:val="es-ES" w:eastAsia="es-ES"/>
        </w:rPr>
        <w:t>los</w:t>
      </w:r>
      <w:r w:rsidR="001A709B" w:rsidRPr="00C874E0">
        <w:rPr>
          <w:lang w:val="es-ES" w:eastAsia="es-ES"/>
        </w:rPr>
        <w:t xml:space="preserve"> derechos humanos, </w:t>
      </w:r>
      <w:r w:rsidR="009065AE">
        <w:rPr>
          <w:lang w:val="es-ES" w:eastAsia="es-ES"/>
        </w:rPr>
        <w:t>y que</w:t>
      </w:r>
      <w:r w:rsidR="001A709B" w:rsidRPr="00C874E0">
        <w:rPr>
          <w:lang w:val="es-ES" w:eastAsia="es-ES"/>
        </w:rPr>
        <w:t xml:space="preserve"> la degradación ambiental </w:t>
      </w:r>
      <w:r w:rsidR="00552258">
        <w:rPr>
          <w:lang w:val="es-ES" w:eastAsia="es-ES"/>
        </w:rPr>
        <w:t xml:space="preserve">puede </w:t>
      </w:r>
      <w:r w:rsidR="001A709B" w:rsidRPr="00C874E0">
        <w:rPr>
          <w:lang w:val="es-ES" w:eastAsia="es-ES"/>
        </w:rPr>
        <w:t>afecta</w:t>
      </w:r>
      <w:r w:rsidR="00552258">
        <w:rPr>
          <w:lang w:val="es-ES" w:eastAsia="es-ES"/>
        </w:rPr>
        <w:t>r</w:t>
      </w:r>
      <w:r w:rsidR="001A709B" w:rsidRPr="00C874E0">
        <w:rPr>
          <w:lang w:val="es-ES" w:eastAsia="es-ES"/>
        </w:rPr>
        <w:t xml:space="preserve"> el goce efectivo </w:t>
      </w:r>
      <w:r w:rsidR="009065AE">
        <w:rPr>
          <w:lang w:val="es-ES" w:eastAsia="es-ES"/>
        </w:rPr>
        <w:t>d</w:t>
      </w:r>
      <w:r w:rsidR="001A709B">
        <w:rPr>
          <w:lang w:val="es-ES" w:eastAsia="es-ES"/>
        </w:rPr>
        <w:t>el propio derecho a la vida</w:t>
      </w:r>
      <w:r w:rsidR="001A709B" w:rsidRPr="00C874E0">
        <w:rPr>
          <w:lang w:val="es-ES" w:eastAsia="es-ES"/>
        </w:rPr>
        <w:t>.</w:t>
      </w:r>
      <w:r w:rsidR="001A709B">
        <w:rPr>
          <w:rStyle w:val="FootnoteReference"/>
          <w:lang w:val="es-ES" w:eastAsia="es-ES"/>
        </w:rPr>
        <w:footnoteReference w:id="47"/>
      </w:r>
      <w:r w:rsidR="001A709B" w:rsidRPr="00C874E0">
        <w:rPr>
          <w:lang w:val="es-ES" w:eastAsia="es-ES"/>
        </w:rPr>
        <w:t xml:space="preserve"> </w:t>
      </w:r>
      <w:r w:rsidR="00552258">
        <w:rPr>
          <w:lang w:val="es-ES" w:eastAsia="es-ES"/>
        </w:rPr>
        <w:t>En este sentido</w:t>
      </w:r>
      <w:r w:rsidR="001A709B">
        <w:rPr>
          <w:lang w:val="es-ES" w:eastAsia="es-ES"/>
        </w:rPr>
        <w:t xml:space="preserve">, </w:t>
      </w:r>
      <w:r w:rsidR="001A709B" w:rsidRPr="001A709B">
        <w:rPr>
          <w:lang w:val="es-ES" w:eastAsia="es-ES"/>
        </w:rPr>
        <w:t>la degradación severa del medio ambiente</w:t>
      </w:r>
      <w:r w:rsidR="007063E0">
        <w:rPr>
          <w:lang w:val="es-ES" w:eastAsia="es-ES"/>
        </w:rPr>
        <w:t xml:space="preserve"> ya ha </w:t>
      </w:r>
      <w:r w:rsidR="00EA0D76">
        <w:rPr>
          <w:lang w:val="es-ES" w:eastAsia="es-ES"/>
        </w:rPr>
        <w:t>conllevado a</w:t>
      </w:r>
      <w:r w:rsidR="005E4A6B">
        <w:rPr>
          <w:lang w:val="es-ES" w:eastAsia="es-ES"/>
        </w:rPr>
        <w:t xml:space="preserve"> la declaración de</w:t>
      </w:r>
      <w:r w:rsidR="001A709B" w:rsidRPr="001A709B">
        <w:rPr>
          <w:lang w:val="es-ES" w:eastAsia="es-ES"/>
        </w:rPr>
        <w:t xml:space="preserve"> </w:t>
      </w:r>
      <w:r w:rsidR="001A709B">
        <w:rPr>
          <w:lang w:val="es-ES" w:eastAsia="es-ES"/>
        </w:rPr>
        <w:t>violación del</w:t>
      </w:r>
      <w:r w:rsidR="001A709B" w:rsidRPr="001A709B">
        <w:rPr>
          <w:lang w:val="es-ES" w:eastAsia="es-ES"/>
        </w:rPr>
        <w:t xml:space="preserve"> derecho a la vida</w:t>
      </w:r>
      <w:r w:rsidR="001A709B">
        <w:rPr>
          <w:lang w:val="es-ES" w:eastAsia="es-ES"/>
        </w:rPr>
        <w:t>.</w:t>
      </w:r>
      <w:r w:rsidR="001A709B">
        <w:rPr>
          <w:rStyle w:val="FootnoteReference"/>
          <w:lang w:val="es-ES" w:eastAsia="es-ES"/>
        </w:rPr>
        <w:footnoteReference w:id="48"/>
      </w:r>
    </w:p>
    <w:p w:rsidR="007D676C" w:rsidRPr="00C21406" w:rsidRDefault="001A709B" w:rsidP="00005F6D">
      <w:pPr>
        <w:pStyle w:val="SingleTxtG"/>
        <w:rPr>
          <w:lang w:val="es-ES" w:eastAsia="es-ES"/>
        </w:rPr>
      </w:pPr>
      <w:r>
        <w:rPr>
          <w:lang w:val="es-ES" w:eastAsia="es-ES"/>
        </w:rPr>
        <w:t>7.</w:t>
      </w:r>
      <w:r w:rsidR="00AA5957">
        <w:rPr>
          <w:lang w:val="es-ES" w:eastAsia="es-ES"/>
        </w:rPr>
        <w:t>5</w:t>
      </w:r>
      <w:r>
        <w:rPr>
          <w:lang w:val="es-ES" w:eastAsia="es-ES"/>
        </w:rPr>
        <w:tab/>
      </w:r>
      <w:r w:rsidR="009336F5" w:rsidRPr="009336F5">
        <w:rPr>
          <w:lang w:val="es-ES" w:eastAsia="es-ES"/>
        </w:rPr>
        <w:t>E</w:t>
      </w:r>
      <w:r w:rsidR="00AF3DE3">
        <w:rPr>
          <w:lang w:val="es-ES" w:eastAsia="es-ES"/>
        </w:rPr>
        <w:t>n el presente caso, e</w:t>
      </w:r>
      <w:r w:rsidR="009336F5" w:rsidRPr="009336F5">
        <w:rPr>
          <w:lang w:val="es-ES" w:eastAsia="es-ES"/>
        </w:rPr>
        <w:t xml:space="preserve">l Comité considera que las fumigaciones </w:t>
      </w:r>
      <w:r w:rsidR="006E1CC5">
        <w:rPr>
          <w:lang w:val="es-ES" w:eastAsia="es-ES"/>
        </w:rPr>
        <w:t xml:space="preserve">masivas </w:t>
      </w:r>
      <w:r w:rsidR="009336F5" w:rsidRPr="009336F5">
        <w:rPr>
          <w:lang w:val="es-ES" w:eastAsia="es-ES"/>
        </w:rPr>
        <w:t>con agro-tóxicos</w:t>
      </w:r>
      <w:r w:rsidR="00D51358">
        <w:rPr>
          <w:lang w:val="es-ES" w:eastAsia="es-ES"/>
        </w:rPr>
        <w:t xml:space="preserve"> en la zona de referencia</w:t>
      </w:r>
      <w:r w:rsidR="005F6A59">
        <w:rPr>
          <w:lang w:val="es-ES" w:eastAsia="es-ES"/>
        </w:rPr>
        <w:t>,</w:t>
      </w:r>
      <w:r w:rsidR="009336F5" w:rsidRPr="009336F5">
        <w:rPr>
          <w:lang w:val="es-ES" w:eastAsia="es-ES"/>
        </w:rPr>
        <w:t xml:space="preserve"> </w:t>
      </w:r>
      <w:r w:rsidR="00AA5957">
        <w:rPr>
          <w:lang w:val="es-ES" w:eastAsia="es-ES"/>
        </w:rPr>
        <w:t>según ha sido ampliamente documentado</w:t>
      </w:r>
      <w:r w:rsidR="00E666F7">
        <w:rPr>
          <w:lang w:val="es-ES" w:eastAsia="es-ES"/>
        </w:rPr>
        <w:t>,</w:t>
      </w:r>
      <w:r w:rsidR="006E1CC5">
        <w:rPr>
          <w:rStyle w:val="FootnoteReference"/>
          <w:lang w:val="es-ES" w:eastAsia="es-ES"/>
        </w:rPr>
        <w:footnoteReference w:id="49"/>
      </w:r>
      <w:r w:rsidR="00AA5957">
        <w:rPr>
          <w:lang w:val="es-ES" w:eastAsia="es-ES"/>
        </w:rPr>
        <w:t xml:space="preserve"> </w:t>
      </w:r>
      <w:r w:rsidR="009336F5" w:rsidRPr="009336F5">
        <w:rPr>
          <w:lang w:val="es-ES" w:eastAsia="es-ES"/>
        </w:rPr>
        <w:t xml:space="preserve">constituyen amenazas </w:t>
      </w:r>
      <w:r w:rsidR="00AA5957">
        <w:rPr>
          <w:lang w:val="es-ES" w:eastAsia="es-ES"/>
        </w:rPr>
        <w:t xml:space="preserve">a la vida de los autores </w:t>
      </w:r>
      <w:r w:rsidR="00BF7770">
        <w:rPr>
          <w:lang w:val="es-ES" w:eastAsia="es-ES"/>
        </w:rPr>
        <w:t xml:space="preserve">que eran </w:t>
      </w:r>
      <w:r w:rsidR="009336F5" w:rsidRPr="009336F5">
        <w:rPr>
          <w:lang w:val="es-ES" w:eastAsia="es-ES"/>
        </w:rPr>
        <w:t>razonablemente previsibles</w:t>
      </w:r>
      <w:r w:rsidR="005F6A59">
        <w:rPr>
          <w:lang w:val="es-ES" w:eastAsia="es-ES"/>
        </w:rPr>
        <w:t xml:space="preserve"> </w:t>
      </w:r>
      <w:r w:rsidR="002B466D">
        <w:rPr>
          <w:lang w:val="es-ES" w:eastAsia="es-ES"/>
        </w:rPr>
        <w:t>por</w:t>
      </w:r>
      <w:r w:rsidR="005F6A59">
        <w:rPr>
          <w:lang w:val="es-ES" w:eastAsia="es-ES"/>
        </w:rPr>
        <w:t xml:space="preserve"> el Estado parte</w:t>
      </w:r>
      <w:r w:rsidR="00F53763">
        <w:rPr>
          <w:lang w:val="es-ES" w:eastAsia="es-ES"/>
        </w:rPr>
        <w:t xml:space="preserve">, </w:t>
      </w:r>
      <w:r w:rsidR="00EF7F17">
        <w:rPr>
          <w:lang w:val="es-ES" w:eastAsia="es-ES"/>
        </w:rPr>
        <w:t xml:space="preserve">dado que tales fumigaciones masivas </w:t>
      </w:r>
      <w:r w:rsidR="00F53763">
        <w:rPr>
          <w:lang w:val="es-ES" w:eastAsia="es-ES"/>
        </w:rPr>
        <w:t>ha</w:t>
      </w:r>
      <w:r w:rsidR="00AF2CD1">
        <w:rPr>
          <w:lang w:val="es-ES" w:eastAsia="es-ES"/>
        </w:rPr>
        <w:t>n</w:t>
      </w:r>
      <w:r w:rsidR="00F53763">
        <w:rPr>
          <w:lang w:val="es-ES" w:eastAsia="es-ES"/>
        </w:rPr>
        <w:t xml:space="preserve"> contaminado</w:t>
      </w:r>
      <w:r w:rsidR="00F53763" w:rsidRPr="000D7494">
        <w:rPr>
          <w:lang w:val="es-ES"/>
        </w:rPr>
        <w:t xml:space="preserve"> </w:t>
      </w:r>
      <w:r w:rsidR="00AF2CD1">
        <w:rPr>
          <w:lang w:val="es-ES"/>
        </w:rPr>
        <w:t xml:space="preserve">los ríos de los cuales </w:t>
      </w:r>
      <w:r w:rsidR="00C34685">
        <w:rPr>
          <w:lang w:val="es-ES"/>
        </w:rPr>
        <w:t xml:space="preserve">los autores </w:t>
      </w:r>
      <w:r w:rsidR="00AF2CD1">
        <w:rPr>
          <w:lang w:val="es-ES"/>
        </w:rPr>
        <w:t xml:space="preserve">pescan, los pozos de los cuales beben, </w:t>
      </w:r>
      <w:r w:rsidR="00AF2CD1">
        <w:rPr>
          <w:lang w:val="es-ES" w:eastAsia="es-ES"/>
        </w:rPr>
        <w:t xml:space="preserve">y los árboles frutales, </w:t>
      </w:r>
      <w:r w:rsidR="00F53763" w:rsidRPr="00F53763">
        <w:rPr>
          <w:lang w:val="es-ES" w:eastAsia="es-ES"/>
        </w:rPr>
        <w:t>cultivos</w:t>
      </w:r>
      <w:r w:rsidR="00AF2CD1">
        <w:rPr>
          <w:lang w:val="es-ES" w:eastAsia="es-ES"/>
        </w:rPr>
        <w:t xml:space="preserve"> y </w:t>
      </w:r>
      <w:r w:rsidR="00F53763" w:rsidRPr="00F53763">
        <w:rPr>
          <w:lang w:val="es-ES" w:eastAsia="es-ES"/>
        </w:rPr>
        <w:t>animales de cría</w:t>
      </w:r>
      <w:r w:rsidR="00504C92">
        <w:rPr>
          <w:lang w:val="es-ES" w:eastAsia="es-ES"/>
        </w:rPr>
        <w:t xml:space="preserve"> </w:t>
      </w:r>
      <w:r w:rsidR="00EF7F17">
        <w:rPr>
          <w:lang w:val="es-ES" w:eastAsia="es-ES"/>
        </w:rPr>
        <w:t>de los cuales se alimentan</w:t>
      </w:r>
      <w:r w:rsidR="009336F5" w:rsidRPr="009336F5">
        <w:rPr>
          <w:lang w:val="es-ES" w:eastAsia="es-ES"/>
        </w:rPr>
        <w:t>.</w:t>
      </w:r>
      <w:r w:rsidR="00B8793C">
        <w:rPr>
          <w:lang w:val="es-ES" w:eastAsia="es-ES"/>
        </w:rPr>
        <w:t xml:space="preserve"> Los autores fueron hospitalizados en razón de su intoxicación, y el Estado parte</w:t>
      </w:r>
      <w:r w:rsidR="00B8793C" w:rsidRPr="000D7494">
        <w:rPr>
          <w:lang w:val="es-ES"/>
        </w:rPr>
        <w:t xml:space="preserve"> </w:t>
      </w:r>
      <w:r w:rsidR="00B8793C" w:rsidRPr="00B8793C">
        <w:rPr>
          <w:lang w:val="es-ES" w:eastAsia="es-ES"/>
        </w:rPr>
        <w:t xml:space="preserve">no ha aportado prueba alguna </w:t>
      </w:r>
      <w:r w:rsidR="00B8793C">
        <w:rPr>
          <w:lang w:val="es-ES" w:eastAsia="es-ES"/>
        </w:rPr>
        <w:t>para</w:t>
      </w:r>
      <w:r w:rsidR="00B8793C" w:rsidRPr="00B8793C">
        <w:rPr>
          <w:lang w:val="es-ES" w:eastAsia="es-ES"/>
        </w:rPr>
        <w:t xml:space="preserve"> </w:t>
      </w:r>
      <w:r w:rsidR="00B8793C">
        <w:rPr>
          <w:lang w:val="es-ES" w:eastAsia="es-ES"/>
        </w:rPr>
        <w:t>demostrar</w:t>
      </w:r>
      <w:r w:rsidR="00B8793C" w:rsidRPr="00B8793C">
        <w:rPr>
          <w:lang w:val="es-ES" w:eastAsia="es-ES"/>
        </w:rPr>
        <w:t xml:space="preserve"> que los análisis de sangre y orina arrojaron valores dentro de los parámetros normales</w:t>
      </w:r>
      <w:r w:rsidR="00500F92">
        <w:rPr>
          <w:lang w:val="es-ES" w:eastAsia="es-ES"/>
        </w:rPr>
        <w:t xml:space="preserve">, </w:t>
      </w:r>
      <w:r w:rsidR="00441EE9">
        <w:rPr>
          <w:lang w:val="es-ES" w:eastAsia="es-ES"/>
        </w:rPr>
        <w:t>y tampoco</w:t>
      </w:r>
      <w:r w:rsidR="00500F92">
        <w:rPr>
          <w:lang w:val="es-ES" w:eastAsia="es-ES"/>
        </w:rPr>
        <w:t xml:space="preserve"> ha proporcionado una explicación alternativa </w:t>
      </w:r>
      <w:r w:rsidR="00441EE9">
        <w:rPr>
          <w:lang w:val="es-ES" w:eastAsia="es-ES"/>
        </w:rPr>
        <w:t>sobre lo sucedido</w:t>
      </w:r>
      <w:r w:rsidR="00B8793C">
        <w:rPr>
          <w:lang w:val="es-ES" w:eastAsia="es-ES"/>
        </w:rPr>
        <w:t xml:space="preserve">. </w:t>
      </w:r>
      <w:r w:rsidR="00DA0E70">
        <w:rPr>
          <w:lang w:val="es-ES" w:eastAsia="es-ES"/>
        </w:rPr>
        <w:t>Además, e</w:t>
      </w:r>
      <w:r w:rsidR="00B8793C">
        <w:rPr>
          <w:lang w:val="es-ES" w:eastAsia="es-ES"/>
        </w:rPr>
        <w:t>l</w:t>
      </w:r>
      <w:r w:rsidR="00B8793C" w:rsidRPr="000D7494">
        <w:rPr>
          <w:lang w:val="es-ES"/>
        </w:rPr>
        <w:t xml:space="preserve"> </w:t>
      </w:r>
      <w:r w:rsidR="00B8793C" w:rsidRPr="00B8793C">
        <w:rPr>
          <w:lang w:val="es-ES" w:eastAsia="es-ES"/>
        </w:rPr>
        <w:t>Sr. Portillo Cáceres</w:t>
      </w:r>
      <w:r w:rsidR="00724712">
        <w:rPr>
          <w:lang w:val="es-ES" w:eastAsia="es-ES"/>
        </w:rPr>
        <w:t xml:space="preserve"> falleció sin que el Estado parte aportara </w:t>
      </w:r>
      <w:r w:rsidR="00756AF1">
        <w:rPr>
          <w:lang w:val="es-ES" w:eastAsia="es-ES"/>
        </w:rPr>
        <w:t>una</w:t>
      </w:r>
      <w:r w:rsidR="00724712">
        <w:rPr>
          <w:lang w:val="es-ES" w:eastAsia="es-ES"/>
        </w:rPr>
        <w:t xml:space="preserve"> explicación, ya que la autopsia nunca fue llevada a cabo.</w:t>
      </w:r>
      <w:r w:rsidR="009336F5" w:rsidRPr="00B8793C">
        <w:rPr>
          <w:lang w:val="es-ES" w:eastAsia="es-ES"/>
        </w:rPr>
        <w:t xml:space="preserve"> </w:t>
      </w:r>
      <w:r w:rsidR="00DA0E70">
        <w:rPr>
          <w:lang w:val="es-ES" w:eastAsia="es-ES"/>
        </w:rPr>
        <w:t>E</w:t>
      </w:r>
      <w:r w:rsidR="007B6AEA">
        <w:rPr>
          <w:lang w:val="es-ES" w:eastAsia="es-ES"/>
        </w:rPr>
        <w:t xml:space="preserve">l Comité </w:t>
      </w:r>
      <w:r w:rsidR="00DA0E70">
        <w:rPr>
          <w:lang w:val="es-ES" w:eastAsia="es-ES"/>
        </w:rPr>
        <w:t xml:space="preserve">también </w:t>
      </w:r>
      <w:r w:rsidR="007B6AEA">
        <w:rPr>
          <w:lang w:val="es-ES" w:eastAsia="es-ES"/>
        </w:rPr>
        <w:t>observa que</w:t>
      </w:r>
      <w:r w:rsidR="009B7E8F">
        <w:rPr>
          <w:lang w:val="es-ES" w:eastAsia="es-ES"/>
        </w:rPr>
        <w:t>,</w:t>
      </w:r>
      <w:r w:rsidR="007B6AEA">
        <w:rPr>
          <w:lang w:val="es-ES" w:eastAsia="es-ES"/>
        </w:rPr>
        <w:t xml:space="preserve"> </w:t>
      </w:r>
      <w:r w:rsidR="009B7E8F">
        <w:rPr>
          <w:lang w:val="es-ES" w:eastAsia="es-ES"/>
        </w:rPr>
        <w:t xml:space="preserve">durante al menos cinco años </w:t>
      </w:r>
      <w:r w:rsidR="003D1DEA">
        <w:rPr>
          <w:lang w:val="es-ES" w:eastAsia="es-ES"/>
        </w:rPr>
        <w:t>antes de</w:t>
      </w:r>
      <w:r w:rsidR="009B7E8F">
        <w:rPr>
          <w:lang w:val="es-ES" w:eastAsia="es-ES"/>
        </w:rPr>
        <w:t xml:space="preserve"> los hechos, </w:t>
      </w:r>
      <w:r w:rsidR="007B6AEA">
        <w:rPr>
          <w:lang w:val="es-ES" w:eastAsia="es-ES"/>
        </w:rPr>
        <w:t xml:space="preserve">diversas autoridades estatales habían sido alertadas de las actividades de fumigaciones y </w:t>
      </w:r>
      <w:r w:rsidR="0060615D">
        <w:rPr>
          <w:lang w:val="es-ES" w:eastAsia="es-ES"/>
        </w:rPr>
        <w:t xml:space="preserve">de </w:t>
      </w:r>
      <w:r w:rsidR="007B6AEA">
        <w:rPr>
          <w:lang w:val="es-ES" w:eastAsia="es-ES"/>
        </w:rPr>
        <w:t>sus incidencias en los habitantes de la Colonia</w:t>
      </w:r>
      <w:r w:rsidR="009B7E8F">
        <w:rPr>
          <w:lang w:val="es-ES" w:eastAsia="es-ES"/>
        </w:rPr>
        <w:t xml:space="preserve"> Yerutí</w:t>
      </w:r>
      <w:r w:rsidR="007B6AEA">
        <w:rPr>
          <w:lang w:val="es-ES" w:eastAsia="es-ES"/>
        </w:rPr>
        <w:t xml:space="preserve"> (</w:t>
      </w:r>
      <w:r w:rsidR="00756AF1">
        <w:rPr>
          <w:lang w:val="es-ES" w:eastAsia="es-ES"/>
        </w:rPr>
        <w:t xml:space="preserve">párr. </w:t>
      </w:r>
      <w:r w:rsidR="007B6AEA">
        <w:rPr>
          <w:lang w:val="es-ES" w:eastAsia="es-ES"/>
        </w:rPr>
        <w:t>2.6).</w:t>
      </w:r>
      <w:r w:rsidR="006F7E65">
        <w:rPr>
          <w:lang w:val="es-ES" w:eastAsia="es-ES"/>
        </w:rPr>
        <w:t xml:space="preserve"> </w:t>
      </w:r>
      <w:r w:rsidR="00662472">
        <w:rPr>
          <w:lang w:val="es-ES" w:eastAsia="es-ES"/>
        </w:rPr>
        <w:t xml:space="preserve">A pesar de estas alertas y denuncias, el Estado parte no actuó. </w:t>
      </w:r>
      <w:r w:rsidR="006F7E65">
        <w:rPr>
          <w:lang w:val="es-ES" w:eastAsia="es-ES"/>
        </w:rPr>
        <w:t xml:space="preserve">Asimismo, al imponer sanciones administrativas a </w:t>
      </w:r>
      <w:r w:rsidR="00CC7ADD">
        <w:rPr>
          <w:lang w:val="es-ES" w:eastAsia="es-ES"/>
        </w:rPr>
        <w:t xml:space="preserve">dos </w:t>
      </w:r>
      <w:r w:rsidR="006F7E65">
        <w:rPr>
          <w:lang w:val="es-ES" w:eastAsia="es-ES"/>
        </w:rPr>
        <w:t>de los productores</w:t>
      </w:r>
      <w:r w:rsidR="009B0886">
        <w:rPr>
          <w:lang w:val="es-ES" w:eastAsia="es-ES"/>
        </w:rPr>
        <w:t xml:space="preserve"> (párr. </w:t>
      </w:r>
      <w:r w:rsidR="00EA05AC">
        <w:rPr>
          <w:lang w:val="es-ES" w:eastAsia="es-ES"/>
        </w:rPr>
        <w:t>4.</w:t>
      </w:r>
      <w:r w:rsidR="009B0886">
        <w:rPr>
          <w:lang w:val="es-ES" w:eastAsia="es-ES"/>
        </w:rPr>
        <w:t>5)</w:t>
      </w:r>
      <w:r w:rsidR="006F7E65">
        <w:rPr>
          <w:lang w:val="es-ES" w:eastAsia="es-ES"/>
        </w:rPr>
        <w:t xml:space="preserve">, el Estado parte reconoció la </w:t>
      </w:r>
      <w:r w:rsidR="0060615D">
        <w:rPr>
          <w:lang w:val="es-ES" w:eastAsia="es-ES"/>
        </w:rPr>
        <w:t>peligrosidad de las actividades</w:t>
      </w:r>
      <w:r w:rsidR="00AA1D01">
        <w:rPr>
          <w:lang w:val="es-ES" w:eastAsia="es-ES"/>
        </w:rPr>
        <w:t>, hecho no anulado por el sobreseimie</w:t>
      </w:r>
      <w:r w:rsidR="007C79AF">
        <w:rPr>
          <w:lang w:val="es-ES" w:eastAsia="es-ES"/>
        </w:rPr>
        <w:t>nto</w:t>
      </w:r>
      <w:r w:rsidR="004C6BD7" w:rsidRPr="004C6BD7">
        <w:rPr>
          <w:lang w:val="es-ES" w:eastAsia="es-ES"/>
        </w:rPr>
        <w:t xml:space="preserve"> </w:t>
      </w:r>
      <w:r w:rsidR="004C6BD7">
        <w:rPr>
          <w:lang w:val="es-ES" w:eastAsia="es-ES"/>
        </w:rPr>
        <w:t>de uno de los dos casos</w:t>
      </w:r>
      <w:r w:rsidR="007C79AF">
        <w:rPr>
          <w:lang w:val="es-ES" w:eastAsia="es-ES"/>
        </w:rPr>
        <w:t xml:space="preserve"> por </w:t>
      </w:r>
      <w:r w:rsidR="004C6BD7">
        <w:rPr>
          <w:lang w:val="es-ES" w:eastAsia="es-ES"/>
        </w:rPr>
        <w:t>errores</w:t>
      </w:r>
      <w:r w:rsidR="009A2A03">
        <w:rPr>
          <w:lang w:val="es-ES" w:eastAsia="es-ES"/>
        </w:rPr>
        <w:t xml:space="preserve"> de forma</w:t>
      </w:r>
      <w:r w:rsidR="00920E19" w:rsidRPr="007D16D9">
        <w:rPr>
          <w:lang w:val="es-ES"/>
        </w:rPr>
        <w:t xml:space="preserve"> </w:t>
      </w:r>
      <w:r w:rsidR="00920E19">
        <w:rPr>
          <w:lang w:val="es-ES"/>
        </w:rPr>
        <w:t xml:space="preserve">en la </w:t>
      </w:r>
      <w:r w:rsidR="00920E19" w:rsidRPr="00920E19">
        <w:rPr>
          <w:lang w:val="es-ES" w:eastAsia="es-ES"/>
        </w:rPr>
        <w:t>intervención de</w:t>
      </w:r>
      <w:r w:rsidR="00920E19">
        <w:rPr>
          <w:lang w:val="es-ES" w:eastAsia="es-ES"/>
        </w:rPr>
        <w:t xml:space="preserve"> los fiscalizadores ambientales</w:t>
      </w:r>
      <w:r w:rsidR="007C79AF">
        <w:rPr>
          <w:lang w:val="es-ES" w:eastAsia="es-ES"/>
        </w:rPr>
        <w:t xml:space="preserve"> </w:t>
      </w:r>
      <w:r w:rsidR="00AA1D01">
        <w:rPr>
          <w:lang w:val="es-ES" w:eastAsia="es-ES"/>
        </w:rPr>
        <w:t>(párr. 5.8)</w:t>
      </w:r>
      <w:r w:rsidR="0060615D">
        <w:rPr>
          <w:lang w:val="es-ES" w:eastAsia="es-ES"/>
        </w:rPr>
        <w:t xml:space="preserve">. Además, la SEAM reconoció </w:t>
      </w:r>
      <w:r w:rsidR="0060615D" w:rsidRPr="0060615D">
        <w:rPr>
          <w:lang w:val="es-ES" w:eastAsia="es-ES"/>
        </w:rPr>
        <w:t>su responsabilidad en la omisión de controles</w:t>
      </w:r>
      <w:r w:rsidR="0060615D">
        <w:rPr>
          <w:lang w:val="es-ES" w:eastAsia="es-ES"/>
        </w:rPr>
        <w:t>. Finalmente,</w:t>
      </w:r>
      <w:r w:rsidR="000C51F9">
        <w:rPr>
          <w:lang w:val="es-ES" w:eastAsia="es-ES"/>
        </w:rPr>
        <w:t xml:space="preserve"> </w:t>
      </w:r>
      <w:r w:rsidR="0060615D">
        <w:rPr>
          <w:lang w:val="es-ES" w:eastAsia="es-ES"/>
        </w:rPr>
        <w:t xml:space="preserve">al resolver </w:t>
      </w:r>
      <w:r w:rsidR="008D6333">
        <w:rPr>
          <w:lang w:val="es-ES" w:eastAsia="es-ES"/>
        </w:rPr>
        <w:t xml:space="preserve">favorablemente </w:t>
      </w:r>
      <w:r w:rsidR="0060615D">
        <w:rPr>
          <w:lang w:val="es-ES" w:eastAsia="es-ES"/>
        </w:rPr>
        <w:t xml:space="preserve">el recurso de amparo, el </w:t>
      </w:r>
      <w:r w:rsidR="008D6333">
        <w:rPr>
          <w:lang w:val="es-ES" w:eastAsia="es-ES"/>
        </w:rPr>
        <w:t xml:space="preserve">Juzgado dictaminó </w:t>
      </w:r>
      <w:r w:rsidR="001C6312">
        <w:rPr>
          <w:lang w:val="es-ES" w:eastAsia="es-ES"/>
        </w:rPr>
        <w:t xml:space="preserve">claramente </w:t>
      </w:r>
      <w:r w:rsidR="008D6333">
        <w:rPr>
          <w:lang w:val="es-ES" w:eastAsia="es-ES"/>
        </w:rPr>
        <w:t>que “</w:t>
      </w:r>
      <w:r w:rsidR="008D6333" w:rsidRPr="008D6333">
        <w:rPr>
          <w:lang w:val="es-ES" w:eastAsia="es-ES"/>
        </w:rPr>
        <w:t>el Estado no ha cumplido con su obligación o deber de proteger”</w:t>
      </w:r>
      <w:r w:rsidR="008D6333">
        <w:rPr>
          <w:lang w:val="es-ES" w:eastAsia="es-ES"/>
        </w:rPr>
        <w:t>.</w:t>
      </w:r>
      <w:r w:rsidR="007B6AEA">
        <w:rPr>
          <w:lang w:val="es-ES" w:eastAsia="es-ES"/>
        </w:rPr>
        <w:t xml:space="preserve"> </w:t>
      </w:r>
      <w:r w:rsidR="001C6312">
        <w:rPr>
          <w:lang w:val="es-ES" w:eastAsia="es-ES"/>
        </w:rPr>
        <w:t xml:space="preserve">A pesar de todo lo anterior, las fumigaciones siguieron. </w:t>
      </w:r>
      <w:r w:rsidR="00C21406">
        <w:rPr>
          <w:lang w:val="es-ES" w:eastAsia="es-ES"/>
        </w:rPr>
        <w:t xml:space="preserve">Por ende, </w:t>
      </w:r>
      <w:r w:rsidR="00A4005A">
        <w:rPr>
          <w:lang w:val="es-ES" w:eastAsia="es-ES"/>
        </w:rPr>
        <w:t>frente a</w:t>
      </w:r>
      <w:r w:rsidR="00C21406">
        <w:rPr>
          <w:lang w:val="es-ES" w:eastAsia="es-ES"/>
        </w:rPr>
        <w:t xml:space="preserve"> </w:t>
      </w:r>
      <w:r w:rsidR="00642862">
        <w:rPr>
          <w:lang w:val="es-ES" w:eastAsia="es-ES"/>
        </w:rPr>
        <w:t>las graves intoxicaciones que padecieron los autores, reconocidas por la sentencia de amparo de 2011 (párr. 2.20 y 2.21)</w:t>
      </w:r>
      <w:r w:rsidR="003A3D84">
        <w:rPr>
          <w:lang w:val="es-ES" w:eastAsia="es-ES"/>
        </w:rPr>
        <w:t>, y a</w:t>
      </w:r>
      <w:r w:rsidR="00642862">
        <w:rPr>
          <w:lang w:val="es-ES" w:eastAsia="es-ES"/>
        </w:rPr>
        <w:t xml:space="preserve"> </w:t>
      </w:r>
      <w:r w:rsidR="00D243F9">
        <w:rPr>
          <w:lang w:val="es-ES" w:eastAsia="es-ES"/>
        </w:rPr>
        <w:t>la muerte del Sr. Portillo Cáceres</w:t>
      </w:r>
      <w:r w:rsidR="003A3D84">
        <w:rPr>
          <w:lang w:val="es-ES" w:eastAsia="es-ES"/>
        </w:rPr>
        <w:t>, nunca explicada por el Estado parte</w:t>
      </w:r>
      <w:r w:rsidR="00D243F9">
        <w:rPr>
          <w:lang w:val="es-ES" w:eastAsia="es-ES"/>
        </w:rPr>
        <w:t xml:space="preserve">, </w:t>
      </w:r>
      <w:r w:rsidR="00C21406" w:rsidRPr="00C21406">
        <w:rPr>
          <w:lang w:val="es-ES_tradnl" w:eastAsia="es-ES"/>
        </w:rPr>
        <w:t xml:space="preserve">el Comité concluye que los hechos que tiene ante sí ponen de manifiesto </w:t>
      </w:r>
      <w:r w:rsidR="00A66667" w:rsidRPr="00C21406">
        <w:rPr>
          <w:lang w:val="es-ES" w:eastAsia="es-ES"/>
        </w:rPr>
        <w:t xml:space="preserve">una </w:t>
      </w:r>
      <w:r w:rsidR="00A66667" w:rsidRPr="00C21406">
        <w:rPr>
          <w:lang w:val="es-ES" w:eastAsia="es-ES"/>
        </w:rPr>
        <w:lastRenderedPageBreak/>
        <w:t>violación de</w:t>
      </w:r>
      <w:r w:rsidR="00A66667">
        <w:rPr>
          <w:lang w:val="es-ES" w:eastAsia="es-ES"/>
        </w:rPr>
        <w:t>l artículo 6 del Pacto</w:t>
      </w:r>
      <w:r w:rsidR="00C21406">
        <w:rPr>
          <w:lang w:val="es-ES" w:eastAsia="es-ES"/>
        </w:rPr>
        <w:t>,</w:t>
      </w:r>
      <w:r w:rsidR="00A66667">
        <w:rPr>
          <w:lang w:val="es-ES" w:eastAsia="es-ES"/>
        </w:rPr>
        <w:t xml:space="preserve"> en perjuicio del Sr. Portillo Cáceres y de los autores de la comunicación.</w:t>
      </w:r>
    </w:p>
    <w:p w:rsidR="007D676C" w:rsidRPr="005C621A" w:rsidRDefault="00240BBD" w:rsidP="00005F6D">
      <w:pPr>
        <w:pStyle w:val="SingleTxtG"/>
        <w:rPr>
          <w:lang w:val="es-ES"/>
        </w:rPr>
      </w:pPr>
      <w:r>
        <w:rPr>
          <w:lang w:val="es-ES"/>
        </w:rPr>
        <w:t>7.</w:t>
      </w:r>
      <w:r w:rsidR="00D51358">
        <w:rPr>
          <w:lang w:val="es-ES"/>
        </w:rPr>
        <w:t>6</w:t>
      </w:r>
      <w:r w:rsidR="00E655C5">
        <w:rPr>
          <w:lang w:val="es-ES"/>
        </w:rPr>
        <w:tab/>
      </w:r>
      <w:r w:rsidR="000507ED">
        <w:rPr>
          <w:lang w:val="es-ES_tradnl"/>
        </w:rPr>
        <w:t>H</w:t>
      </w:r>
      <w:r w:rsidR="00F95FCE">
        <w:rPr>
          <w:lang w:val="es-ES_tradnl"/>
        </w:rPr>
        <w:t>abiendo</w:t>
      </w:r>
      <w:r w:rsidR="00F95FCE" w:rsidRPr="00F95FCE">
        <w:rPr>
          <w:lang w:val="es-ES"/>
        </w:rPr>
        <w:t xml:space="preserve"> concluido </w:t>
      </w:r>
      <w:r w:rsidR="000507ED">
        <w:rPr>
          <w:lang w:val="es-ES"/>
        </w:rPr>
        <w:t>a</w:t>
      </w:r>
      <w:r w:rsidR="00F95FCE" w:rsidRPr="00F95FCE">
        <w:rPr>
          <w:lang w:val="es-ES"/>
        </w:rPr>
        <w:t xml:space="preserve"> la existencia</w:t>
      </w:r>
      <w:r w:rsidR="00F95FCE">
        <w:rPr>
          <w:lang w:val="es-ES"/>
        </w:rPr>
        <w:t xml:space="preserve"> de una violación del artículo 6</w:t>
      </w:r>
      <w:r w:rsidR="00F95FCE" w:rsidRPr="00F95FCE">
        <w:rPr>
          <w:lang w:val="es-ES"/>
        </w:rPr>
        <w:t xml:space="preserve"> del Pacto, </w:t>
      </w:r>
      <w:r w:rsidR="000507ED">
        <w:rPr>
          <w:lang w:val="es-ES_tradnl"/>
        </w:rPr>
        <w:t>e</w:t>
      </w:r>
      <w:r w:rsidR="000507ED" w:rsidRPr="008962DC">
        <w:rPr>
          <w:lang w:val="es-ES_tradnl"/>
        </w:rPr>
        <w:t>l Comi</w:t>
      </w:r>
      <w:r w:rsidR="000507ED">
        <w:rPr>
          <w:lang w:val="es-ES_tradnl"/>
        </w:rPr>
        <w:t xml:space="preserve">té considera que </w:t>
      </w:r>
      <w:r w:rsidR="00F95FCE">
        <w:rPr>
          <w:lang w:val="es-ES"/>
        </w:rPr>
        <w:t>no es</w:t>
      </w:r>
      <w:r w:rsidR="00F95FCE" w:rsidRPr="00F95FCE">
        <w:rPr>
          <w:lang w:val="es-ES"/>
        </w:rPr>
        <w:t xml:space="preserve"> necesario examinar por separado la existencia de una violación del artículo </w:t>
      </w:r>
      <w:r w:rsidR="00F95FCE">
        <w:rPr>
          <w:lang w:val="es-ES"/>
        </w:rPr>
        <w:t>7</w:t>
      </w:r>
      <w:r w:rsidR="00F95FCE" w:rsidRPr="00F95FCE">
        <w:rPr>
          <w:lang w:val="es-ES"/>
        </w:rPr>
        <w:t xml:space="preserve"> por </w:t>
      </w:r>
      <w:r w:rsidR="00DF4391">
        <w:rPr>
          <w:lang w:val="es-ES"/>
        </w:rPr>
        <w:t>los mismos hechos</w:t>
      </w:r>
      <w:r w:rsidR="001B0047" w:rsidRPr="005C621A">
        <w:rPr>
          <w:lang w:val="es-ES"/>
        </w:rPr>
        <w:t>.</w:t>
      </w:r>
    </w:p>
    <w:p w:rsidR="007D676C" w:rsidRDefault="00053198" w:rsidP="00005F6D">
      <w:pPr>
        <w:pStyle w:val="SingleTxtG"/>
        <w:rPr>
          <w:lang w:val="es-ES"/>
        </w:rPr>
      </w:pPr>
      <w:r>
        <w:rPr>
          <w:lang w:val="es-ES"/>
        </w:rPr>
        <w:t>7.</w:t>
      </w:r>
      <w:r w:rsidR="00504484">
        <w:rPr>
          <w:lang w:val="es-ES"/>
        </w:rPr>
        <w:t>7</w:t>
      </w:r>
      <w:r w:rsidR="007D676C" w:rsidRPr="007D676C">
        <w:rPr>
          <w:lang w:val="es-ES"/>
        </w:rPr>
        <w:tab/>
        <w:t>En cuanto a la presunta vulneración del artículo</w:t>
      </w:r>
      <w:r w:rsidR="00701866">
        <w:rPr>
          <w:lang w:val="es-ES"/>
        </w:rPr>
        <w:t xml:space="preserve"> 17</w:t>
      </w:r>
      <w:r w:rsidR="00504484">
        <w:rPr>
          <w:lang w:val="es-ES"/>
        </w:rPr>
        <w:t xml:space="preserve"> del Pacto</w:t>
      </w:r>
      <w:r w:rsidR="00BF43C1">
        <w:rPr>
          <w:lang w:val="es-ES"/>
        </w:rPr>
        <w:t xml:space="preserve">, </w:t>
      </w:r>
      <w:r w:rsidR="00DF4391">
        <w:rPr>
          <w:lang w:val="es-ES"/>
        </w:rPr>
        <w:t xml:space="preserve">el Comité toma nota de las alegaciones de </w:t>
      </w:r>
      <w:r w:rsidR="00BF43C1">
        <w:rPr>
          <w:lang w:val="es-ES"/>
        </w:rPr>
        <w:t xml:space="preserve">los autores </w:t>
      </w:r>
      <w:r w:rsidR="00DF4391">
        <w:rPr>
          <w:lang w:val="es-ES"/>
        </w:rPr>
        <w:t xml:space="preserve">de </w:t>
      </w:r>
      <w:r w:rsidR="00BF43C1">
        <w:rPr>
          <w:lang w:val="es-ES"/>
        </w:rPr>
        <w:t>que</w:t>
      </w:r>
      <w:r w:rsidR="008E60AA" w:rsidRPr="00D00F6B">
        <w:rPr>
          <w:lang w:val="es-ES"/>
        </w:rPr>
        <w:t xml:space="preserve"> </w:t>
      </w:r>
      <w:r w:rsidR="00AE4059">
        <w:rPr>
          <w:lang w:val="es-ES"/>
        </w:rPr>
        <w:t xml:space="preserve">sus </w:t>
      </w:r>
      <w:r w:rsidR="008E60AA" w:rsidRPr="00D00F6B">
        <w:rPr>
          <w:lang w:val="es-ES"/>
        </w:rPr>
        <w:t xml:space="preserve">animales de cría, </w:t>
      </w:r>
      <w:r w:rsidR="00AE4059" w:rsidRPr="00D00F6B">
        <w:rPr>
          <w:lang w:val="es-ES"/>
        </w:rPr>
        <w:t>cultivos</w:t>
      </w:r>
      <w:r w:rsidR="00AE4059">
        <w:rPr>
          <w:lang w:val="es-ES"/>
        </w:rPr>
        <w:t xml:space="preserve">, </w:t>
      </w:r>
      <w:r w:rsidR="008E60AA" w:rsidRPr="00D00F6B">
        <w:rPr>
          <w:lang w:val="es-ES"/>
        </w:rPr>
        <w:t>árboles frutales</w:t>
      </w:r>
      <w:r w:rsidR="008E60AA">
        <w:rPr>
          <w:lang w:val="es-ES"/>
        </w:rPr>
        <w:t>,</w:t>
      </w:r>
      <w:r w:rsidR="008E60AA" w:rsidRPr="00D00F6B">
        <w:rPr>
          <w:lang w:val="es-ES"/>
        </w:rPr>
        <w:t xml:space="preserve"> </w:t>
      </w:r>
      <w:r w:rsidR="00322137" w:rsidRPr="00D00F6B">
        <w:rPr>
          <w:lang w:val="es-ES"/>
        </w:rPr>
        <w:t>recursos hídricos</w:t>
      </w:r>
      <w:r w:rsidR="00322137">
        <w:rPr>
          <w:lang w:val="es-ES"/>
        </w:rPr>
        <w:t xml:space="preserve"> y</w:t>
      </w:r>
      <w:r w:rsidR="00322137" w:rsidRPr="00D00F6B">
        <w:rPr>
          <w:lang w:val="es-ES"/>
        </w:rPr>
        <w:t xml:space="preserve"> peces</w:t>
      </w:r>
      <w:r w:rsidR="00AE4059">
        <w:rPr>
          <w:lang w:val="es-ES"/>
        </w:rPr>
        <w:t>,</w:t>
      </w:r>
      <w:r w:rsidR="00322137">
        <w:rPr>
          <w:lang w:val="es-ES"/>
        </w:rPr>
        <w:t xml:space="preserve"> </w:t>
      </w:r>
      <w:r w:rsidR="008E60AA">
        <w:rPr>
          <w:lang w:val="es-ES"/>
        </w:rPr>
        <w:t xml:space="preserve">constituyen elementos de </w:t>
      </w:r>
      <w:r w:rsidR="00AE4059">
        <w:rPr>
          <w:lang w:val="es-ES"/>
        </w:rPr>
        <w:t>su vida privada, familiar</w:t>
      </w:r>
      <w:r w:rsidR="008E60AA">
        <w:rPr>
          <w:lang w:val="es-ES"/>
        </w:rPr>
        <w:t xml:space="preserve"> y domicilio, y que</w:t>
      </w:r>
      <w:r w:rsidR="008E60AA" w:rsidRPr="00CA37EC">
        <w:rPr>
          <w:lang w:val="es-ES"/>
        </w:rPr>
        <w:t xml:space="preserve"> </w:t>
      </w:r>
      <w:r w:rsidR="00CA37EC" w:rsidRPr="00CA37EC">
        <w:rPr>
          <w:lang w:val="es-ES"/>
        </w:rPr>
        <w:t>la falta de control estatal del respeto de las normas ambientales constituye</w:t>
      </w:r>
      <w:r w:rsidR="0041435C">
        <w:rPr>
          <w:lang w:val="es-ES"/>
        </w:rPr>
        <w:t>, en consecuencia,</w:t>
      </w:r>
      <w:r w:rsidR="00CA37EC" w:rsidRPr="00CA37EC">
        <w:rPr>
          <w:lang w:val="es-ES"/>
        </w:rPr>
        <w:t xml:space="preserve"> una injerencia</w:t>
      </w:r>
      <w:r w:rsidR="00BF43C1">
        <w:rPr>
          <w:lang w:val="es-ES"/>
        </w:rPr>
        <w:t xml:space="preserve"> </w:t>
      </w:r>
      <w:r w:rsidR="00CA37EC" w:rsidRPr="00CA37EC">
        <w:rPr>
          <w:lang w:val="es-ES"/>
        </w:rPr>
        <w:t xml:space="preserve">arbitraria en </w:t>
      </w:r>
      <w:r w:rsidR="00DF4391">
        <w:rPr>
          <w:lang w:val="es-ES"/>
        </w:rPr>
        <w:t>su</w:t>
      </w:r>
      <w:r w:rsidR="00DF4391" w:rsidRPr="00CA37EC">
        <w:rPr>
          <w:lang w:val="es-ES"/>
        </w:rPr>
        <w:t xml:space="preserve"> </w:t>
      </w:r>
      <w:r w:rsidR="00CA37EC" w:rsidRPr="00CA37EC">
        <w:rPr>
          <w:lang w:val="es-ES"/>
        </w:rPr>
        <w:t>vida privada, familiar y domicilio</w:t>
      </w:r>
      <w:r w:rsidR="00D00F6B">
        <w:rPr>
          <w:lang w:val="es-ES"/>
        </w:rPr>
        <w:t>.</w:t>
      </w:r>
      <w:r w:rsidR="00392CED" w:rsidRPr="00877B58">
        <w:rPr>
          <w:lang w:val="es-ES"/>
        </w:rPr>
        <w:t xml:space="preserve"> </w:t>
      </w:r>
      <w:r w:rsidR="00392CED" w:rsidRPr="00392CED">
        <w:rPr>
          <w:lang w:val="es-ES"/>
        </w:rPr>
        <w:t xml:space="preserve">Los autores sostienen </w:t>
      </w:r>
      <w:r w:rsidR="00FA5323">
        <w:rPr>
          <w:lang w:val="es-ES"/>
        </w:rPr>
        <w:t xml:space="preserve">también </w:t>
      </w:r>
      <w:r w:rsidR="00392CED" w:rsidRPr="00392CED">
        <w:rPr>
          <w:lang w:val="es-ES"/>
        </w:rPr>
        <w:t>que el ámbito de protección del artículo 17</w:t>
      </w:r>
      <w:r w:rsidR="00DF4391">
        <w:rPr>
          <w:lang w:val="es-ES"/>
        </w:rPr>
        <w:t xml:space="preserve"> del Pacto</w:t>
      </w:r>
      <w:r w:rsidR="00392CED" w:rsidRPr="00392CED">
        <w:rPr>
          <w:lang w:val="es-ES"/>
        </w:rPr>
        <w:t xml:space="preserve"> abarca la protección frente a la contaminación ambiental</w:t>
      </w:r>
      <w:r w:rsidR="00DF4391">
        <w:rPr>
          <w:lang w:val="es-ES"/>
        </w:rPr>
        <w:t xml:space="preserve">, por lo que existiría </w:t>
      </w:r>
      <w:r w:rsidR="00392CED" w:rsidRPr="00392CED">
        <w:rPr>
          <w:lang w:val="es-ES"/>
        </w:rPr>
        <w:t xml:space="preserve">una </w:t>
      </w:r>
      <w:r w:rsidR="00392CED" w:rsidRPr="00392CED">
        <w:rPr>
          <w:i/>
          <w:lang w:val="es-ES"/>
        </w:rPr>
        <w:t>culpa in vigilando</w:t>
      </w:r>
      <w:r w:rsidR="00392CED" w:rsidRPr="00392CED">
        <w:rPr>
          <w:lang w:val="es-ES"/>
        </w:rPr>
        <w:t xml:space="preserve"> del Estado parte por no controlar la actividad agrícola contaminante. El Comité</w:t>
      </w:r>
      <w:r w:rsidR="00C76075">
        <w:rPr>
          <w:lang w:val="es-ES"/>
        </w:rPr>
        <w:t xml:space="preserve"> también</w:t>
      </w:r>
      <w:r w:rsidR="00392CED" w:rsidRPr="00392CED">
        <w:rPr>
          <w:lang w:val="es-ES"/>
        </w:rPr>
        <w:t xml:space="preserve"> toma nota de que</w:t>
      </w:r>
      <w:r w:rsidR="00DF4391">
        <w:rPr>
          <w:lang w:val="es-ES"/>
        </w:rPr>
        <w:t>,</w:t>
      </w:r>
      <w:r w:rsidR="00C21D14">
        <w:rPr>
          <w:lang w:val="es-ES"/>
        </w:rPr>
        <w:t xml:space="preserve"> según </w:t>
      </w:r>
      <w:r w:rsidR="00392CED" w:rsidRPr="00392CED">
        <w:rPr>
          <w:lang w:val="es-ES"/>
        </w:rPr>
        <w:t>el Estado parte, se han aplicado sanciones administrativas a las empresas</w:t>
      </w:r>
      <w:r w:rsidR="009F6F55">
        <w:rPr>
          <w:lang w:val="es-ES"/>
        </w:rPr>
        <w:t xml:space="preserve"> y que se </w:t>
      </w:r>
      <w:r w:rsidR="009F6F55" w:rsidRPr="009F6F55">
        <w:rPr>
          <w:lang w:val="es-ES"/>
        </w:rPr>
        <w:t xml:space="preserve">formuló acusación penal en contra de </w:t>
      </w:r>
      <w:r w:rsidR="009F6F55">
        <w:rPr>
          <w:lang w:val="es-ES"/>
        </w:rPr>
        <w:t>cuatro</w:t>
      </w:r>
      <w:r w:rsidR="009F6F55" w:rsidRPr="009F6F55">
        <w:rPr>
          <w:lang w:val="es-ES"/>
        </w:rPr>
        <w:t xml:space="preserve"> imputados</w:t>
      </w:r>
      <w:r w:rsidR="00D61E93">
        <w:rPr>
          <w:lang w:val="es-ES"/>
        </w:rPr>
        <w:t>, por lo que no existiría</w:t>
      </w:r>
      <w:r w:rsidR="00A2023B">
        <w:rPr>
          <w:lang w:val="es-ES"/>
        </w:rPr>
        <w:t xml:space="preserve"> violación al artículo 17 del Pacto</w:t>
      </w:r>
      <w:r w:rsidR="00392CED" w:rsidRPr="00392CED">
        <w:rPr>
          <w:lang w:val="es-ES"/>
        </w:rPr>
        <w:t xml:space="preserve">. Sin embargo, </w:t>
      </w:r>
      <w:r w:rsidR="004D0962">
        <w:rPr>
          <w:lang w:val="es-ES"/>
        </w:rPr>
        <w:t xml:space="preserve">el Comité </w:t>
      </w:r>
      <w:r w:rsidR="00392CED" w:rsidRPr="00392CED">
        <w:rPr>
          <w:lang w:val="es-ES"/>
        </w:rPr>
        <w:t xml:space="preserve">observa que finalmente </w:t>
      </w:r>
      <w:r w:rsidR="00C21D14">
        <w:rPr>
          <w:lang w:val="es-ES"/>
        </w:rPr>
        <w:t xml:space="preserve">se </w:t>
      </w:r>
      <w:r w:rsidR="00392CED" w:rsidRPr="00392CED">
        <w:rPr>
          <w:lang w:val="es-ES"/>
        </w:rPr>
        <w:t xml:space="preserve">dictaminó sobreseer a </w:t>
      </w:r>
      <w:r w:rsidR="004D0962">
        <w:rPr>
          <w:lang w:val="es-ES"/>
        </w:rPr>
        <w:t>unos</w:t>
      </w:r>
      <w:r w:rsidR="004D0962" w:rsidRPr="00392CED">
        <w:rPr>
          <w:lang w:val="es-ES"/>
        </w:rPr>
        <w:t xml:space="preserve"> </w:t>
      </w:r>
      <w:r w:rsidR="00392CED" w:rsidRPr="00392CED">
        <w:rPr>
          <w:lang w:val="es-ES"/>
        </w:rPr>
        <w:t>implicados en los sumarios administrativos</w:t>
      </w:r>
      <w:r w:rsidR="004D0962" w:rsidRPr="004D0962">
        <w:rPr>
          <w:lang w:val="es-ES"/>
        </w:rPr>
        <w:t xml:space="preserve"> por errores de forma en la intervención de los fiscalizadores ambientales (párr. 5.8)</w:t>
      </w:r>
      <w:r w:rsidR="00392CED" w:rsidRPr="00392CED">
        <w:rPr>
          <w:lang w:val="es-ES"/>
        </w:rPr>
        <w:t xml:space="preserve">, </w:t>
      </w:r>
      <w:r w:rsidR="00DA7A55">
        <w:rPr>
          <w:lang w:val="es-ES"/>
        </w:rPr>
        <w:t xml:space="preserve">y que </w:t>
      </w:r>
      <w:r w:rsidR="003A6EA0">
        <w:rPr>
          <w:lang w:val="es-ES"/>
        </w:rPr>
        <w:t>las</w:t>
      </w:r>
      <w:r w:rsidR="003A6EA0" w:rsidRPr="00392CED">
        <w:rPr>
          <w:lang w:val="es-ES"/>
        </w:rPr>
        <w:t xml:space="preserve"> actividades</w:t>
      </w:r>
      <w:r w:rsidR="003A6EA0">
        <w:rPr>
          <w:lang w:val="es-ES"/>
        </w:rPr>
        <w:t xml:space="preserve"> de fumigaciones ilegales </w:t>
      </w:r>
      <w:r w:rsidR="007038F7">
        <w:rPr>
          <w:lang w:val="es-ES"/>
        </w:rPr>
        <w:t xml:space="preserve">no </w:t>
      </w:r>
      <w:r w:rsidR="00F816C4">
        <w:rPr>
          <w:lang w:val="es-ES"/>
        </w:rPr>
        <w:t xml:space="preserve">han </w:t>
      </w:r>
      <w:r w:rsidR="007038F7">
        <w:rPr>
          <w:lang w:val="es-ES"/>
        </w:rPr>
        <w:t>cesado</w:t>
      </w:r>
      <w:r w:rsidR="00392CED" w:rsidRPr="00392CED">
        <w:rPr>
          <w:lang w:val="es-ES"/>
        </w:rPr>
        <w:t>.</w:t>
      </w:r>
    </w:p>
    <w:p w:rsidR="003E1064" w:rsidRPr="007D676C" w:rsidRDefault="003E1064" w:rsidP="00005F6D">
      <w:pPr>
        <w:pStyle w:val="SingleTxtG"/>
        <w:rPr>
          <w:lang w:val="es-ES_tradnl"/>
        </w:rPr>
      </w:pPr>
      <w:r>
        <w:rPr>
          <w:lang w:val="es-ES_tradnl"/>
        </w:rPr>
        <w:t>7.</w:t>
      </w:r>
      <w:r w:rsidR="00504484">
        <w:rPr>
          <w:lang w:val="es-ES_tradnl"/>
        </w:rPr>
        <w:t>8</w:t>
      </w:r>
      <w:r>
        <w:rPr>
          <w:lang w:val="es-ES_tradnl"/>
        </w:rPr>
        <w:tab/>
      </w:r>
      <w:r w:rsidR="00C5139E">
        <w:rPr>
          <w:lang w:val="es-ES_tradnl"/>
        </w:rPr>
        <w:t xml:space="preserve">El Comité </w:t>
      </w:r>
      <w:r w:rsidR="00504484">
        <w:rPr>
          <w:lang w:val="es-ES_tradnl"/>
        </w:rPr>
        <w:t xml:space="preserve">observa </w:t>
      </w:r>
      <w:r w:rsidR="00C5139E">
        <w:rPr>
          <w:lang w:val="es-ES_tradnl"/>
        </w:rPr>
        <w:t>que</w:t>
      </w:r>
      <w:r w:rsidR="00D6529E">
        <w:rPr>
          <w:lang w:val="es-ES_tradnl"/>
        </w:rPr>
        <w:t xml:space="preserve"> los autores, </w:t>
      </w:r>
      <w:r w:rsidR="00D6708F" w:rsidRPr="006B566F">
        <w:rPr>
          <w:lang w:val="es-ES_tradnl"/>
        </w:rPr>
        <w:t xml:space="preserve">trabajadores rurales </w:t>
      </w:r>
      <w:r w:rsidR="00D6529E">
        <w:rPr>
          <w:lang w:val="es-ES_tradnl"/>
        </w:rPr>
        <w:t>miembros de una misma familia</w:t>
      </w:r>
      <w:r w:rsidR="008B4552">
        <w:rPr>
          <w:lang w:val="es-ES_tradnl"/>
        </w:rPr>
        <w:t xml:space="preserve"> </w:t>
      </w:r>
      <w:r w:rsidR="00D6708F">
        <w:rPr>
          <w:lang w:val="es-ES_tradnl"/>
        </w:rPr>
        <w:t>que se dedica</w:t>
      </w:r>
      <w:r w:rsidR="006B566F" w:rsidRPr="006B566F">
        <w:rPr>
          <w:lang w:val="es-ES_tradnl"/>
        </w:rPr>
        <w:t xml:space="preserve"> a la agricultura familiar campesina</w:t>
      </w:r>
      <w:r w:rsidR="008B4552">
        <w:rPr>
          <w:lang w:val="es-ES_tradnl"/>
        </w:rPr>
        <w:t xml:space="preserve"> en tierras</w:t>
      </w:r>
      <w:r w:rsidR="008B4552" w:rsidRPr="000D7494">
        <w:rPr>
          <w:lang w:val="es-ES"/>
        </w:rPr>
        <w:t xml:space="preserve"> </w:t>
      </w:r>
      <w:r w:rsidR="008B4552">
        <w:rPr>
          <w:lang w:val="es-ES_tradnl"/>
        </w:rPr>
        <w:t xml:space="preserve">de propiedad del Estado y </w:t>
      </w:r>
      <w:r w:rsidR="008B4552" w:rsidRPr="008B4552">
        <w:rPr>
          <w:lang w:val="es-ES_tradnl"/>
        </w:rPr>
        <w:t>administrada</w:t>
      </w:r>
      <w:r w:rsidR="008B4552">
        <w:rPr>
          <w:lang w:val="es-ES_tradnl"/>
        </w:rPr>
        <w:t>s</w:t>
      </w:r>
      <w:r w:rsidR="008B4552" w:rsidRPr="008B4552">
        <w:rPr>
          <w:lang w:val="es-ES_tradnl"/>
        </w:rPr>
        <w:t xml:space="preserve"> por </w:t>
      </w:r>
      <w:r w:rsidR="008B4552">
        <w:rPr>
          <w:lang w:val="es-ES_tradnl"/>
        </w:rPr>
        <w:t>una institución estatal (párr. 2.2), dependen, para su subsistencia, de sus cultivos, árboles frutales, animales de cría,</w:t>
      </w:r>
      <w:r w:rsidR="00D6708F">
        <w:rPr>
          <w:lang w:val="es-ES_tradnl"/>
        </w:rPr>
        <w:t xml:space="preserve"> </w:t>
      </w:r>
      <w:r w:rsidR="00843D90">
        <w:rPr>
          <w:lang w:val="es-ES_tradnl"/>
        </w:rPr>
        <w:t xml:space="preserve">así como </w:t>
      </w:r>
      <w:r w:rsidR="00E02FFC">
        <w:rPr>
          <w:lang w:val="es-ES_tradnl"/>
        </w:rPr>
        <w:t xml:space="preserve">de la </w:t>
      </w:r>
      <w:r w:rsidR="00D6708F">
        <w:rPr>
          <w:lang w:val="es-ES_tradnl"/>
        </w:rPr>
        <w:t>pesca y recursos hídricos</w:t>
      </w:r>
      <w:r w:rsidR="00843D90">
        <w:rPr>
          <w:lang w:val="es-ES_tradnl"/>
        </w:rPr>
        <w:t>. L</w:t>
      </w:r>
      <w:r w:rsidR="008804EA">
        <w:rPr>
          <w:lang w:val="es-ES_tradnl"/>
        </w:rPr>
        <w:t>o</w:t>
      </w:r>
      <w:r w:rsidR="00843D90">
        <w:rPr>
          <w:lang w:val="es-ES_tradnl"/>
        </w:rPr>
        <w:t xml:space="preserve"> anterior</w:t>
      </w:r>
      <w:r w:rsidR="008804EA">
        <w:rPr>
          <w:lang w:val="es-ES_tradnl"/>
        </w:rPr>
        <w:t xml:space="preserve"> no ha sido rebatido por el Estado parte</w:t>
      </w:r>
      <w:r w:rsidR="00D6708F">
        <w:rPr>
          <w:lang w:val="es-ES_tradnl"/>
        </w:rPr>
        <w:t>.</w:t>
      </w:r>
      <w:r w:rsidR="000C6ACE">
        <w:rPr>
          <w:lang w:val="es-ES_tradnl"/>
        </w:rPr>
        <w:t xml:space="preserve"> </w:t>
      </w:r>
      <w:r w:rsidR="00E478B5">
        <w:rPr>
          <w:lang w:val="es-ES_tradnl"/>
        </w:rPr>
        <w:t>El Comité recuerda que</w:t>
      </w:r>
      <w:r w:rsidR="00E478B5" w:rsidRPr="0043478A">
        <w:rPr>
          <w:lang w:val="es-ES"/>
        </w:rPr>
        <w:t xml:space="preserve"> </w:t>
      </w:r>
      <w:r w:rsidR="00E478B5">
        <w:rPr>
          <w:lang w:val="es-ES_tradnl"/>
        </w:rPr>
        <w:t xml:space="preserve">el término </w:t>
      </w:r>
      <w:r w:rsidR="00E478B5" w:rsidRPr="00F85069">
        <w:rPr>
          <w:i/>
          <w:lang w:val="es-ES_tradnl"/>
        </w:rPr>
        <w:t>domicilio</w:t>
      </w:r>
      <w:r w:rsidR="00E478B5" w:rsidRPr="000C6ACE">
        <w:rPr>
          <w:lang w:val="es-ES_tradnl"/>
        </w:rPr>
        <w:t xml:space="preserve"> ha de entenderse en su acepción de lugar donde una persona reside o ejerce su ocupación habitual</w:t>
      </w:r>
      <w:r w:rsidR="00E478B5">
        <w:rPr>
          <w:lang w:val="es-ES_tradnl"/>
        </w:rPr>
        <w:t>.</w:t>
      </w:r>
      <w:r w:rsidR="00E478B5">
        <w:rPr>
          <w:rStyle w:val="FootnoteReference"/>
          <w:lang w:val="es-ES_tradnl"/>
        </w:rPr>
        <w:footnoteReference w:id="50"/>
      </w:r>
      <w:r w:rsidR="00E478B5">
        <w:rPr>
          <w:lang w:val="es-ES_tradnl"/>
        </w:rPr>
        <w:t>Asimismo</w:t>
      </w:r>
      <w:r w:rsidR="003D4DA3">
        <w:rPr>
          <w:lang w:val="es-ES_tradnl"/>
        </w:rPr>
        <w:t>, el</w:t>
      </w:r>
      <w:r w:rsidR="00E50F88">
        <w:rPr>
          <w:lang w:val="es-ES_tradnl"/>
        </w:rPr>
        <w:t xml:space="preserve"> Comité </w:t>
      </w:r>
      <w:r w:rsidR="008F227D" w:rsidRPr="00A33B58">
        <w:rPr>
          <w:lang w:val="es-ES_tradnl"/>
        </w:rPr>
        <w:t>considera que</w:t>
      </w:r>
      <w:r w:rsidR="008F227D" w:rsidRPr="00A33B58">
        <w:rPr>
          <w:lang w:val="es-ES"/>
        </w:rPr>
        <w:t xml:space="preserve"> </w:t>
      </w:r>
      <w:r w:rsidR="00A429FD" w:rsidRPr="00A33B58">
        <w:rPr>
          <w:lang w:val="es-ES_tradnl"/>
        </w:rPr>
        <w:t>los elementos anteriormente mencionado</w:t>
      </w:r>
      <w:r w:rsidR="00B47785" w:rsidRPr="00A33B58">
        <w:rPr>
          <w:lang w:val="es-ES_tradnl"/>
        </w:rPr>
        <w:t>s son</w:t>
      </w:r>
      <w:r w:rsidR="00A429FD" w:rsidRPr="00A33B58">
        <w:rPr>
          <w:lang w:val="es-ES_tradnl"/>
        </w:rPr>
        <w:t xml:space="preserve"> constitutivos del modo de vida de los autores</w:t>
      </w:r>
      <w:r w:rsidR="00E50F88" w:rsidRPr="00A33B58">
        <w:rPr>
          <w:lang w:val="es-ES_tradnl"/>
        </w:rPr>
        <w:t>,</w:t>
      </w:r>
      <w:r w:rsidR="00777BAF" w:rsidRPr="00A33B58">
        <w:rPr>
          <w:lang w:val="es-ES_tradnl"/>
        </w:rPr>
        <w:t xml:space="preserve"> los cuales tienen </w:t>
      </w:r>
      <w:r w:rsidR="001D3871">
        <w:rPr>
          <w:lang w:val="es-ES_tradnl"/>
        </w:rPr>
        <w:t xml:space="preserve">un </w:t>
      </w:r>
      <w:r w:rsidR="00141C99" w:rsidRPr="00A33B58">
        <w:rPr>
          <w:lang w:val="es-ES_tradnl"/>
        </w:rPr>
        <w:t xml:space="preserve">especial </w:t>
      </w:r>
      <w:r w:rsidR="001D3871">
        <w:rPr>
          <w:lang w:val="es-ES_tradnl"/>
        </w:rPr>
        <w:t>apego</w:t>
      </w:r>
      <w:r w:rsidR="00C45C85" w:rsidRPr="00A33B58">
        <w:rPr>
          <w:lang w:val="es-ES_tradnl"/>
        </w:rPr>
        <w:t xml:space="preserve"> </w:t>
      </w:r>
      <w:r w:rsidR="00777BAF" w:rsidRPr="00A33B58">
        <w:rPr>
          <w:lang w:val="es-ES_tradnl"/>
        </w:rPr>
        <w:t xml:space="preserve">y dependencia </w:t>
      </w:r>
      <w:r w:rsidR="001D3871">
        <w:rPr>
          <w:lang w:val="es-ES_tradnl"/>
        </w:rPr>
        <w:t>a</w:t>
      </w:r>
      <w:r w:rsidR="00777BAF" w:rsidRPr="00A33B58">
        <w:rPr>
          <w:lang w:val="es-ES_tradnl"/>
        </w:rPr>
        <w:t xml:space="preserve"> la tierra</w:t>
      </w:r>
      <w:r w:rsidR="00FB5085">
        <w:rPr>
          <w:lang w:val="es-ES_tradnl"/>
        </w:rPr>
        <w:t>,</w:t>
      </w:r>
      <w:r w:rsidR="00376391" w:rsidRPr="00A33B58">
        <w:rPr>
          <w:rStyle w:val="FootnoteReference"/>
          <w:lang w:val="es-ES_tradnl"/>
        </w:rPr>
        <w:footnoteReference w:id="51"/>
      </w:r>
      <w:r w:rsidR="00A429FD" w:rsidRPr="00A33B58">
        <w:rPr>
          <w:lang w:val="es-ES_tradnl"/>
        </w:rPr>
        <w:t xml:space="preserve"> </w:t>
      </w:r>
      <w:r w:rsidR="00FB5085">
        <w:rPr>
          <w:lang w:val="es-ES_tradnl"/>
        </w:rPr>
        <w:t>y</w:t>
      </w:r>
      <w:r w:rsidR="006F0DAC">
        <w:rPr>
          <w:lang w:val="es-ES_tradnl"/>
        </w:rPr>
        <w:t xml:space="preserve"> que </w:t>
      </w:r>
      <w:r w:rsidR="008E7580" w:rsidRPr="00A33B58">
        <w:rPr>
          <w:lang w:val="es-ES_tradnl"/>
        </w:rPr>
        <w:t xml:space="preserve">son elementos </w:t>
      </w:r>
      <w:r w:rsidR="00E478B5">
        <w:rPr>
          <w:lang w:val="es-ES_tradnl"/>
        </w:rPr>
        <w:t xml:space="preserve">que pueden entrar dentro del ámbito de </w:t>
      </w:r>
      <w:r w:rsidR="00A429FD" w:rsidRPr="00A33B58">
        <w:rPr>
          <w:lang w:val="es-ES_tradnl"/>
        </w:rPr>
        <w:t>protección d</w:t>
      </w:r>
      <w:r w:rsidR="008E7580" w:rsidRPr="00A33B58">
        <w:rPr>
          <w:lang w:val="es-ES_tradnl"/>
        </w:rPr>
        <w:t>el artículo 17 del Pacto</w:t>
      </w:r>
      <w:r w:rsidR="000961F9">
        <w:rPr>
          <w:lang w:val="es-ES_tradnl"/>
        </w:rPr>
        <w:t>.</w:t>
      </w:r>
      <w:r w:rsidR="00A31A62">
        <w:rPr>
          <w:rStyle w:val="FootnoteReference"/>
          <w:lang w:val="es-ES_tradnl"/>
        </w:rPr>
        <w:footnoteReference w:id="52"/>
      </w:r>
      <w:r w:rsidR="008A1541">
        <w:rPr>
          <w:lang w:val="es-ES_tradnl"/>
        </w:rPr>
        <w:t xml:space="preserve"> </w:t>
      </w:r>
      <w:r w:rsidR="00790A8B">
        <w:rPr>
          <w:lang w:val="es-ES_tradnl"/>
        </w:rPr>
        <w:t>Además</w:t>
      </w:r>
      <w:r w:rsidR="00094E9E">
        <w:rPr>
          <w:lang w:val="es-ES_tradnl"/>
        </w:rPr>
        <w:t>, e</w:t>
      </w:r>
      <w:r w:rsidR="00E02FFC">
        <w:rPr>
          <w:lang w:val="es-ES_tradnl"/>
        </w:rPr>
        <w:t>l Comité considera que</w:t>
      </w:r>
      <w:r w:rsidR="00F62F3E">
        <w:rPr>
          <w:lang w:val="es-ES_tradnl"/>
        </w:rPr>
        <w:t xml:space="preserve"> </w:t>
      </w:r>
      <w:r w:rsidR="00F62F3E" w:rsidRPr="00F62F3E">
        <w:rPr>
          <w:lang w:val="es-ES_tradnl"/>
        </w:rPr>
        <w:t>no</w:t>
      </w:r>
      <w:r w:rsidR="00F62F3E">
        <w:rPr>
          <w:lang w:val="es-ES_tradnl"/>
        </w:rPr>
        <w:t xml:space="preserve"> debe entenderse el artículo 17 </w:t>
      </w:r>
      <w:r w:rsidR="00E02FFC">
        <w:rPr>
          <w:lang w:val="es-ES_tradnl"/>
        </w:rPr>
        <w:t xml:space="preserve">del Pacto </w:t>
      </w:r>
      <w:r w:rsidR="00F62F3E">
        <w:rPr>
          <w:lang w:val="es-ES_tradnl"/>
        </w:rPr>
        <w:t>como</w:t>
      </w:r>
      <w:r w:rsidR="00F62F3E" w:rsidRPr="00F62F3E">
        <w:rPr>
          <w:lang w:val="es-ES_tradnl"/>
        </w:rPr>
        <w:t xml:space="preserve"> limitá</w:t>
      </w:r>
      <w:r w:rsidR="00F62F3E">
        <w:rPr>
          <w:lang w:val="es-ES_tradnl"/>
        </w:rPr>
        <w:t>ndose</w:t>
      </w:r>
      <w:r w:rsidR="00F62F3E" w:rsidRPr="00F62F3E">
        <w:rPr>
          <w:lang w:val="es-ES_tradnl"/>
        </w:rPr>
        <w:t xml:space="preserve"> a </w:t>
      </w:r>
      <w:r w:rsidR="001853D4">
        <w:rPr>
          <w:lang w:val="es-ES_tradnl"/>
        </w:rPr>
        <w:t>la</w:t>
      </w:r>
      <w:r w:rsidR="008E581B">
        <w:rPr>
          <w:lang w:val="es-ES_tradnl"/>
        </w:rPr>
        <w:t xml:space="preserve"> abstención</w:t>
      </w:r>
      <w:r w:rsidR="003C4216">
        <w:rPr>
          <w:lang w:val="es-ES_tradnl"/>
        </w:rPr>
        <w:t xml:space="preserve"> de </w:t>
      </w:r>
      <w:r w:rsidR="008E581B">
        <w:rPr>
          <w:lang w:val="es-ES_tradnl"/>
        </w:rPr>
        <w:t>injerencias</w:t>
      </w:r>
      <w:r w:rsidR="003C4216">
        <w:rPr>
          <w:lang w:val="es-ES_tradnl"/>
        </w:rPr>
        <w:t xml:space="preserve"> arbitrarias, sino que</w:t>
      </w:r>
      <w:r w:rsidR="00F62F3E" w:rsidRPr="00F62F3E">
        <w:rPr>
          <w:lang w:val="es-ES_tradnl"/>
        </w:rPr>
        <w:t xml:space="preserve"> </w:t>
      </w:r>
      <w:r w:rsidR="00F62F3E">
        <w:rPr>
          <w:lang w:val="es-ES_tradnl"/>
        </w:rPr>
        <w:t xml:space="preserve">también </w:t>
      </w:r>
      <w:r w:rsidR="003C4216">
        <w:rPr>
          <w:lang w:val="es-ES_tradnl"/>
        </w:rPr>
        <w:t>implica</w:t>
      </w:r>
      <w:r w:rsidR="00EC6AB7">
        <w:rPr>
          <w:lang w:val="es-ES_tradnl"/>
        </w:rPr>
        <w:t xml:space="preserve"> para los Estados partes</w:t>
      </w:r>
      <w:r w:rsidR="003C4216">
        <w:rPr>
          <w:lang w:val="es-ES_tradnl"/>
        </w:rPr>
        <w:t xml:space="preserve"> </w:t>
      </w:r>
      <w:r w:rsidR="001853D4">
        <w:rPr>
          <w:lang w:val="es-ES_tradnl"/>
        </w:rPr>
        <w:t>la</w:t>
      </w:r>
      <w:r w:rsidR="00741742">
        <w:rPr>
          <w:lang w:val="es-ES_tradnl"/>
        </w:rPr>
        <w:t xml:space="preserve"> obligación de</w:t>
      </w:r>
      <w:r w:rsidR="00335912">
        <w:rPr>
          <w:lang w:val="es-ES_tradnl"/>
        </w:rPr>
        <w:t xml:space="preserve"> adoptar</w:t>
      </w:r>
      <w:r w:rsidR="001853D4">
        <w:rPr>
          <w:lang w:val="es-ES_tradnl"/>
        </w:rPr>
        <w:t xml:space="preserve"> las medidas</w:t>
      </w:r>
      <w:r w:rsidR="00F62F3E" w:rsidRPr="00F62F3E">
        <w:rPr>
          <w:lang w:val="es-ES_tradnl"/>
        </w:rPr>
        <w:t xml:space="preserve"> positivas </w:t>
      </w:r>
      <w:r w:rsidR="001853D4">
        <w:rPr>
          <w:lang w:val="es-ES_tradnl"/>
        </w:rPr>
        <w:t xml:space="preserve">que sean </w:t>
      </w:r>
      <w:r w:rsidR="003C4216">
        <w:rPr>
          <w:lang w:val="es-ES_tradnl"/>
        </w:rPr>
        <w:t>necesarias para</w:t>
      </w:r>
      <w:r w:rsidR="00F62F3E" w:rsidRPr="00F62F3E">
        <w:rPr>
          <w:lang w:val="es-ES_tradnl"/>
        </w:rPr>
        <w:t xml:space="preserve"> </w:t>
      </w:r>
      <w:r w:rsidR="00EC6AB7">
        <w:rPr>
          <w:lang w:val="es-ES_tradnl"/>
        </w:rPr>
        <w:t>el</w:t>
      </w:r>
      <w:r w:rsidR="00F62F3E" w:rsidRPr="00F62F3E">
        <w:rPr>
          <w:lang w:val="es-ES_tradnl"/>
        </w:rPr>
        <w:t xml:space="preserve"> respeto efectivo</w:t>
      </w:r>
      <w:r w:rsidR="00AC210B">
        <w:rPr>
          <w:lang w:val="es-ES_tradnl"/>
        </w:rPr>
        <w:t xml:space="preserve"> </w:t>
      </w:r>
      <w:r w:rsidR="00EC6AB7">
        <w:rPr>
          <w:lang w:val="es-ES_tradnl"/>
        </w:rPr>
        <w:t>de este derecho</w:t>
      </w:r>
      <w:r w:rsidR="00741742">
        <w:rPr>
          <w:lang w:val="es-ES_tradnl"/>
        </w:rPr>
        <w:t>,</w:t>
      </w:r>
      <w:r w:rsidR="00A83C23">
        <w:rPr>
          <w:lang w:val="es-ES_tradnl"/>
        </w:rPr>
        <w:t xml:space="preserve"> </w:t>
      </w:r>
      <w:r w:rsidR="0070601A">
        <w:rPr>
          <w:lang w:val="es-ES_tradnl"/>
        </w:rPr>
        <w:t>frente a</w:t>
      </w:r>
      <w:r w:rsidR="00741742">
        <w:rPr>
          <w:lang w:val="es-ES_tradnl"/>
        </w:rPr>
        <w:t xml:space="preserve"> injerencias que </w:t>
      </w:r>
      <w:r w:rsidR="00741742" w:rsidRPr="00741742">
        <w:rPr>
          <w:lang w:val="es-ES_tradnl"/>
        </w:rPr>
        <w:t xml:space="preserve">provengan </w:t>
      </w:r>
      <w:r w:rsidR="0070601A">
        <w:rPr>
          <w:lang w:val="es-ES_tradnl"/>
        </w:rPr>
        <w:t xml:space="preserve">tanto </w:t>
      </w:r>
      <w:r w:rsidR="00741742" w:rsidRPr="00741742">
        <w:rPr>
          <w:lang w:val="es-ES_tradnl"/>
        </w:rPr>
        <w:t xml:space="preserve">de </w:t>
      </w:r>
      <w:r w:rsidR="0070601A">
        <w:rPr>
          <w:lang w:val="es-ES_tradnl"/>
        </w:rPr>
        <w:t>autoridades estatales como</w:t>
      </w:r>
      <w:r w:rsidR="00741742" w:rsidRPr="00741742">
        <w:rPr>
          <w:lang w:val="es-ES_tradnl"/>
        </w:rPr>
        <w:t xml:space="preserve"> de personas físicas o jurídicas</w:t>
      </w:r>
      <w:r w:rsidR="00741742">
        <w:rPr>
          <w:lang w:val="es-ES_tradnl"/>
        </w:rPr>
        <w:t>.</w:t>
      </w:r>
      <w:r w:rsidR="00741742">
        <w:rPr>
          <w:rStyle w:val="FootnoteReference"/>
          <w:lang w:val="es-ES_tradnl"/>
        </w:rPr>
        <w:footnoteReference w:id="53"/>
      </w:r>
      <w:r w:rsidR="00741742" w:rsidRPr="00741742">
        <w:rPr>
          <w:lang w:val="es-ES_tradnl"/>
        </w:rPr>
        <w:t xml:space="preserve"> </w:t>
      </w:r>
      <w:r w:rsidR="00A83C23">
        <w:rPr>
          <w:lang w:val="es-ES_tradnl"/>
        </w:rPr>
        <w:t xml:space="preserve">En el presente caso, </w:t>
      </w:r>
      <w:r w:rsidR="007E7826">
        <w:rPr>
          <w:lang w:val="es-ES_tradnl"/>
        </w:rPr>
        <w:t xml:space="preserve">el Comité observa que </w:t>
      </w:r>
      <w:r w:rsidR="00A83C23">
        <w:rPr>
          <w:lang w:val="es-ES_tradnl"/>
        </w:rPr>
        <w:t>el Estado parte no ejerció</w:t>
      </w:r>
      <w:r w:rsidR="00F62F3E">
        <w:rPr>
          <w:lang w:val="es-ES_tradnl"/>
        </w:rPr>
        <w:t xml:space="preserve"> </w:t>
      </w:r>
      <w:r w:rsidR="00A83C23">
        <w:rPr>
          <w:lang w:val="es-ES_tradnl"/>
        </w:rPr>
        <w:lastRenderedPageBreak/>
        <w:t>controles adecuados sobre act</w:t>
      </w:r>
      <w:r w:rsidR="008A7B4D">
        <w:rPr>
          <w:lang w:val="es-ES_tradnl"/>
        </w:rPr>
        <w:t>ividades ilegales contaminantes. La</w:t>
      </w:r>
      <w:r w:rsidR="00A83C23">
        <w:rPr>
          <w:lang w:val="es-ES_tradnl"/>
        </w:rPr>
        <w:t xml:space="preserve"> </w:t>
      </w:r>
      <w:r w:rsidR="008A7B4D">
        <w:rPr>
          <w:lang w:val="es-ES_tradnl"/>
        </w:rPr>
        <w:t xml:space="preserve">omisión del Estado parte en su deber de proteger, </w:t>
      </w:r>
      <w:r w:rsidR="00401A27">
        <w:rPr>
          <w:lang w:val="es-ES_tradnl"/>
        </w:rPr>
        <w:t>reconocida por</w:t>
      </w:r>
      <w:r w:rsidR="008A7B4D">
        <w:rPr>
          <w:lang w:val="es-ES_tradnl"/>
        </w:rPr>
        <w:t xml:space="preserve"> la sentencia de amparo (párr. 2.20 y 2.21), </w:t>
      </w:r>
      <w:r w:rsidR="00A83C23">
        <w:rPr>
          <w:lang w:val="es-ES_tradnl"/>
        </w:rPr>
        <w:t xml:space="preserve">permitió que </w:t>
      </w:r>
      <w:r w:rsidR="007E7826">
        <w:rPr>
          <w:lang w:val="es-ES_tradnl"/>
        </w:rPr>
        <w:t xml:space="preserve">prosiguieran las </w:t>
      </w:r>
      <w:r w:rsidR="007C069A">
        <w:rPr>
          <w:lang w:val="es-ES_tradnl"/>
        </w:rPr>
        <w:t xml:space="preserve">fumigaciones </w:t>
      </w:r>
      <w:r w:rsidR="007E7826">
        <w:rPr>
          <w:lang w:val="es-ES_tradnl"/>
        </w:rPr>
        <w:t xml:space="preserve">masivas y contrarias a </w:t>
      </w:r>
      <w:r w:rsidR="007C069A">
        <w:rPr>
          <w:lang w:val="es-ES_tradnl"/>
        </w:rPr>
        <w:t>la normativa interna</w:t>
      </w:r>
      <w:r w:rsidR="007E7826">
        <w:rPr>
          <w:lang w:val="es-ES_tradnl"/>
        </w:rPr>
        <w:t>, incluido</w:t>
      </w:r>
      <w:r w:rsidR="007C069A">
        <w:rPr>
          <w:lang w:val="es-ES_tradnl"/>
        </w:rPr>
        <w:t xml:space="preserve"> con </w:t>
      </w:r>
      <w:r w:rsidR="007E7826">
        <w:rPr>
          <w:lang w:val="es-ES_tradnl"/>
        </w:rPr>
        <w:t xml:space="preserve">el uso de </w:t>
      </w:r>
      <w:r w:rsidR="007C069A">
        <w:rPr>
          <w:lang w:val="es-ES_tradnl"/>
        </w:rPr>
        <w:t>agro tóxicos prohibidos</w:t>
      </w:r>
      <w:r w:rsidR="00BF263A">
        <w:rPr>
          <w:lang w:val="es-ES_tradnl"/>
        </w:rPr>
        <w:t>,</w:t>
      </w:r>
      <w:r w:rsidR="007E7826">
        <w:rPr>
          <w:lang w:val="es-ES_tradnl"/>
        </w:rPr>
        <w:t xml:space="preserve"> que</w:t>
      </w:r>
      <w:r w:rsidR="00BF263A">
        <w:rPr>
          <w:lang w:val="es-ES_tradnl"/>
        </w:rPr>
        <w:t xml:space="preserve"> </w:t>
      </w:r>
      <w:r w:rsidR="007E7826">
        <w:rPr>
          <w:lang w:val="es-ES_tradnl"/>
        </w:rPr>
        <w:t>causaro</w:t>
      </w:r>
      <w:r w:rsidR="00893517">
        <w:rPr>
          <w:lang w:val="es-ES_tradnl"/>
        </w:rPr>
        <w:t>n</w:t>
      </w:r>
      <w:r w:rsidR="00016CD8">
        <w:rPr>
          <w:lang w:val="es-ES_tradnl"/>
        </w:rPr>
        <w:t xml:space="preserve"> no solamente</w:t>
      </w:r>
      <w:r w:rsidR="00BF263A">
        <w:rPr>
          <w:lang w:val="es-ES_tradnl"/>
        </w:rPr>
        <w:t xml:space="preserve"> </w:t>
      </w:r>
      <w:r w:rsidR="00016CD8">
        <w:rPr>
          <w:lang w:val="es-ES"/>
        </w:rPr>
        <w:t>la contaminación del agua del pozo del domicilio de los autores, como lo reconoció el Ministerio Público, sino también</w:t>
      </w:r>
      <w:r w:rsidR="00016CD8">
        <w:rPr>
          <w:lang w:val="es-ES_tradnl"/>
        </w:rPr>
        <w:t xml:space="preserve"> </w:t>
      </w:r>
      <w:r w:rsidR="00BF263A">
        <w:rPr>
          <w:lang w:val="es-ES_tradnl"/>
        </w:rPr>
        <w:t>la muerte de</w:t>
      </w:r>
      <w:r w:rsidR="00BF263A" w:rsidRPr="00BF263A">
        <w:rPr>
          <w:lang w:val="es-ES"/>
        </w:rPr>
        <w:t xml:space="preserve"> </w:t>
      </w:r>
      <w:r w:rsidR="00BF263A">
        <w:rPr>
          <w:lang w:val="es-ES"/>
        </w:rPr>
        <w:t>peces y a</w:t>
      </w:r>
      <w:r w:rsidR="0077595C">
        <w:rPr>
          <w:lang w:val="es-ES"/>
        </w:rPr>
        <w:t>nimales de cría</w:t>
      </w:r>
      <w:r w:rsidR="00BF263A">
        <w:rPr>
          <w:lang w:val="es-ES"/>
        </w:rPr>
        <w:t xml:space="preserve"> </w:t>
      </w:r>
      <w:r w:rsidR="00016CD8">
        <w:rPr>
          <w:lang w:val="es-ES"/>
        </w:rPr>
        <w:t xml:space="preserve">y </w:t>
      </w:r>
      <w:r w:rsidR="00BF263A">
        <w:rPr>
          <w:lang w:val="es-ES"/>
        </w:rPr>
        <w:t>la pérdida de cultivos</w:t>
      </w:r>
      <w:r w:rsidR="00016CD8">
        <w:rPr>
          <w:lang w:val="es-ES"/>
        </w:rPr>
        <w:t xml:space="preserve"> y </w:t>
      </w:r>
      <w:r w:rsidR="00893517">
        <w:rPr>
          <w:lang w:val="es-ES"/>
        </w:rPr>
        <w:t>árboles frutales</w:t>
      </w:r>
      <w:r w:rsidR="00790A8B">
        <w:rPr>
          <w:lang w:val="es-ES"/>
        </w:rPr>
        <w:t xml:space="preserve"> en las tierras en las que viven y cultivan</w:t>
      </w:r>
      <w:r w:rsidR="005D5CB5">
        <w:rPr>
          <w:lang w:val="es-ES"/>
        </w:rPr>
        <w:t xml:space="preserve">, elementos constitutivos de </w:t>
      </w:r>
      <w:r w:rsidR="004169AD">
        <w:rPr>
          <w:lang w:val="es-ES"/>
        </w:rPr>
        <w:t>la</w:t>
      </w:r>
      <w:r w:rsidR="005D5CB5">
        <w:rPr>
          <w:lang w:val="es-ES"/>
        </w:rPr>
        <w:t xml:space="preserve"> vida privada, familiar y domicilio</w:t>
      </w:r>
      <w:r w:rsidR="004169AD">
        <w:rPr>
          <w:lang w:val="es-ES"/>
        </w:rPr>
        <w:t xml:space="preserve"> de los autores</w:t>
      </w:r>
      <w:r w:rsidR="00893517">
        <w:rPr>
          <w:lang w:val="es-ES"/>
        </w:rPr>
        <w:t>.</w:t>
      </w:r>
      <w:r w:rsidR="00016CD8">
        <w:rPr>
          <w:lang w:val="es-ES"/>
        </w:rPr>
        <w:t xml:space="preserve"> </w:t>
      </w:r>
      <w:r w:rsidR="00893517">
        <w:rPr>
          <w:lang w:val="es-ES"/>
        </w:rPr>
        <w:t>E</w:t>
      </w:r>
      <w:r w:rsidR="006A5A9C">
        <w:rPr>
          <w:lang w:val="es-ES"/>
        </w:rPr>
        <w:t xml:space="preserve">l </w:t>
      </w:r>
      <w:r w:rsidR="007E7826">
        <w:rPr>
          <w:lang w:val="es-ES"/>
        </w:rPr>
        <w:t xml:space="preserve">Comité observa, en este sentido, que el </w:t>
      </w:r>
      <w:r w:rsidR="006A5A9C">
        <w:rPr>
          <w:lang w:val="es-ES"/>
        </w:rPr>
        <w:t xml:space="preserve">Estado parte </w:t>
      </w:r>
      <w:r w:rsidR="00893517">
        <w:rPr>
          <w:lang w:val="es-ES"/>
        </w:rPr>
        <w:t>no</w:t>
      </w:r>
      <w:r w:rsidR="006A5A9C" w:rsidRPr="006A5A9C">
        <w:rPr>
          <w:lang w:val="es-ES"/>
        </w:rPr>
        <w:t xml:space="preserve"> </w:t>
      </w:r>
      <w:r w:rsidR="00695067">
        <w:rPr>
          <w:lang w:val="es-ES"/>
        </w:rPr>
        <w:t xml:space="preserve">ha </w:t>
      </w:r>
      <w:r w:rsidR="006A5A9C" w:rsidRPr="006A5A9C">
        <w:rPr>
          <w:lang w:val="es-ES"/>
        </w:rPr>
        <w:t>propor</w:t>
      </w:r>
      <w:r w:rsidR="00893517">
        <w:rPr>
          <w:lang w:val="es-ES"/>
        </w:rPr>
        <w:t>cion</w:t>
      </w:r>
      <w:r w:rsidR="00695067">
        <w:rPr>
          <w:lang w:val="es-ES"/>
        </w:rPr>
        <w:t>ado</w:t>
      </w:r>
      <w:r w:rsidR="006A5A9C" w:rsidRPr="006A5A9C">
        <w:rPr>
          <w:lang w:val="es-ES"/>
        </w:rPr>
        <w:t xml:space="preserve"> </w:t>
      </w:r>
      <w:r w:rsidR="006B3C28">
        <w:rPr>
          <w:lang w:val="es-ES"/>
        </w:rPr>
        <w:t>ninguna</w:t>
      </w:r>
      <w:r w:rsidR="00016CD8">
        <w:rPr>
          <w:lang w:val="es-ES"/>
        </w:rPr>
        <w:t xml:space="preserve"> explicación</w:t>
      </w:r>
      <w:r w:rsidR="00893517">
        <w:rPr>
          <w:lang w:val="es-ES"/>
        </w:rPr>
        <w:t xml:space="preserve"> </w:t>
      </w:r>
      <w:r w:rsidR="00695067">
        <w:rPr>
          <w:lang w:val="es-ES"/>
        </w:rPr>
        <w:t xml:space="preserve">alternativa </w:t>
      </w:r>
      <w:r w:rsidR="00893517">
        <w:rPr>
          <w:lang w:val="es-ES"/>
        </w:rPr>
        <w:t>al respecto</w:t>
      </w:r>
      <w:r w:rsidR="00E2453F">
        <w:rPr>
          <w:lang w:val="es-ES_tradnl"/>
        </w:rPr>
        <w:t>. C</w:t>
      </w:r>
      <w:r w:rsidR="00292DFD">
        <w:rPr>
          <w:lang w:val="es-ES_tradnl"/>
        </w:rPr>
        <w:t xml:space="preserve">uando la </w:t>
      </w:r>
      <w:r w:rsidR="00DF4391">
        <w:rPr>
          <w:lang w:val="es-ES_tradnl"/>
        </w:rPr>
        <w:t xml:space="preserve">contaminación </w:t>
      </w:r>
      <w:r w:rsidR="00292DFD">
        <w:rPr>
          <w:lang w:val="es-ES_tradnl"/>
        </w:rPr>
        <w:t xml:space="preserve">tiene repercusiones directas sobre el derecho </w:t>
      </w:r>
      <w:r w:rsidR="00292DFD" w:rsidRPr="00C5139E">
        <w:rPr>
          <w:lang w:val="es-ES_tradnl"/>
        </w:rPr>
        <w:t>a la vida privada y familiar</w:t>
      </w:r>
      <w:r w:rsidR="00292DFD">
        <w:rPr>
          <w:lang w:val="es-ES_tradnl"/>
        </w:rPr>
        <w:t xml:space="preserve"> y</w:t>
      </w:r>
      <w:r w:rsidR="00521C47">
        <w:rPr>
          <w:lang w:val="es-ES_tradnl"/>
        </w:rPr>
        <w:t xml:space="preserve"> e</w:t>
      </w:r>
      <w:r w:rsidR="00C87060">
        <w:rPr>
          <w:lang w:val="es-ES_tradnl"/>
        </w:rPr>
        <w:t>l domicilio, y</w:t>
      </w:r>
      <w:r w:rsidR="00292DFD">
        <w:rPr>
          <w:lang w:val="es-ES_tradnl"/>
        </w:rPr>
        <w:t xml:space="preserve"> que las consecuencias nefastas de la contaminación tienen un nivel de gravedad, en función de la intensidad o la duración de las molestias y de sus efectos físicos o mentales, </w:t>
      </w:r>
      <w:r w:rsidR="00C5139E" w:rsidRPr="00C5139E">
        <w:rPr>
          <w:lang w:val="es-ES_tradnl"/>
        </w:rPr>
        <w:t xml:space="preserve">la degradación del medio ambiente puede afectar el bienestar del individuo y generar violaciones </w:t>
      </w:r>
      <w:r w:rsidR="00E267CB">
        <w:rPr>
          <w:lang w:val="es-ES_tradnl"/>
        </w:rPr>
        <w:t>de</w:t>
      </w:r>
      <w:r w:rsidR="00C5139E" w:rsidRPr="00C5139E">
        <w:rPr>
          <w:lang w:val="es-ES_tradnl"/>
        </w:rPr>
        <w:t xml:space="preserve"> la vida privada y familiar</w:t>
      </w:r>
      <w:r w:rsidR="00C87060">
        <w:rPr>
          <w:lang w:val="es-ES_tradnl"/>
        </w:rPr>
        <w:t xml:space="preserve"> y del domicilio</w:t>
      </w:r>
      <w:r w:rsidR="00C5139E">
        <w:rPr>
          <w:lang w:val="es-ES_tradnl"/>
        </w:rPr>
        <w:t>.</w:t>
      </w:r>
      <w:r w:rsidR="001636A4">
        <w:rPr>
          <w:rStyle w:val="FootnoteReference"/>
          <w:lang w:val="es-ES_tradnl"/>
        </w:rPr>
        <w:footnoteReference w:id="54"/>
      </w:r>
      <w:r w:rsidR="002C1CEB">
        <w:rPr>
          <w:lang w:val="es-ES_tradnl"/>
        </w:rPr>
        <w:t xml:space="preserve"> </w:t>
      </w:r>
      <w:r w:rsidR="00D95EDA">
        <w:rPr>
          <w:lang w:val="es-ES_tradnl"/>
        </w:rPr>
        <w:t>Por ende, a</w:t>
      </w:r>
      <w:r w:rsidR="00504484">
        <w:rPr>
          <w:lang w:val="es-ES_tradnl"/>
        </w:rPr>
        <w:t xml:space="preserve"> la luz de los hechos que tiene ante sí</w:t>
      </w:r>
      <w:r w:rsidR="002C1CEB">
        <w:rPr>
          <w:lang w:val="es-ES_tradnl"/>
        </w:rPr>
        <w:t xml:space="preserve">, </w:t>
      </w:r>
      <w:r w:rsidR="002C1CEB" w:rsidRPr="00C21406">
        <w:rPr>
          <w:lang w:val="es-ES_tradnl" w:eastAsia="es-ES"/>
        </w:rPr>
        <w:t xml:space="preserve">el Comité concluye que los hechos </w:t>
      </w:r>
      <w:r w:rsidR="004D744C">
        <w:rPr>
          <w:lang w:val="es-ES_tradnl" w:eastAsia="es-ES"/>
        </w:rPr>
        <w:t>del presente caso</w:t>
      </w:r>
      <w:r w:rsidR="002C1CEB" w:rsidRPr="00C21406">
        <w:rPr>
          <w:lang w:val="es-ES_tradnl" w:eastAsia="es-ES"/>
        </w:rPr>
        <w:t xml:space="preserve"> ponen de manifiesto </w:t>
      </w:r>
      <w:r w:rsidR="002C1CEB" w:rsidRPr="00C21406">
        <w:rPr>
          <w:lang w:val="es-ES" w:eastAsia="es-ES"/>
        </w:rPr>
        <w:t>una violación de</w:t>
      </w:r>
      <w:r w:rsidR="002C1CEB">
        <w:rPr>
          <w:lang w:val="es-ES" w:eastAsia="es-ES"/>
        </w:rPr>
        <w:t>l artículo 17 del Pacto.</w:t>
      </w:r>
    </w:p>
    <w:p w:rsidR="007D676C" w:rsidRPr="007D676C" w:rsidRDefault="00053198" w:rsidP="00005F6D">
      <w:pPr>
        <w:pStyle w:val="SingleTxtG"/>
        <w:rPr>
          <w:lang w:val="es-ES"/>
        </w:rPr>
      </w:pPr>
      <w:r>
        <w:rPr>
          <w:lang w:val="es-ES"/>
        </w:rPr>
        <w:t>7.</w:t>
      </w:r>
      <w:r w:rsidR="00504484">
        <w:rPr>
          <w:lang w:val="es-ES"/>
        </w:rPr>
        <w:t>9</w:t>
      </w:r>
      <w:r w:rsidR="007D676C" w:rsidRPr="007D676C">
        <w:rPr>
          <w:lang w:val="es-ES"/>
        </w:rPr>
        <w:tab/>
        <w:t>Finalmente, el Comité toma nota de que los autores alegan que los hechos constituyen también una violación del artículo 2 párrafo 3 del Pacto</w:t>
      </w:r>
      <w:r w:rsidR="004E30D0">
        <w:rPr>
          <w:lang w:val="es-ES"/>
        </w:rPr>
        <w:t>,</w:t>
      </w:r>
      <w:r w:rsidR="00CF3DC3">
        <w:rPr>
          <w:lang w:val="es-ES"/>
        </w:rPr>
        <w:t xml:space="preserve"> </w:t>
      </w:r>
      <w:r w:rsidR="00CF3DC3" w:rsidRPr="00CF3DC3">
        <w:rPr>
          <w:lang w:val="es-ES"/>
        </w:rPr>
        <w:t>en conjunto con los artículos 6 y 17</w:t>
      </w:r>
      <w:r w:rsidR="00B2278E">
        <w:rPr>
          <w:lang w:val="es-ES"/>
        </w:rPr>
        <w:t>,</w:t>
      </w:r>
      <w:r w:rsidR="008B7C28">
        <w:rPr>
          <w:lang w:val="es-ES"/>
        </w:rPr>
        <w:t xml:space="preserve"> porque</w:t>
      </w:r>
      <w:r w:rsidR="002B309C" w:rsidRPr="002B309C">
        <w:rPr>
          <w:lang w:val="es-ES"/>
        </w:rPr>
        <w:t xml:space="preserve"> no se ha</w:t>
      </w:r>
      <w:r w:rsidR="008B7C28">
        <w:rPr>
          <w:lang w:val="es-ES"/>
        </w:rPr>
        <w:t>bría</w:t>
      </w:r>
      <w:r w:rsidR="002B309C" w:rsidRPr="002B309C">
        <w:rPr>
          <w:lang w:val="es-ES"/>
        </w:rPr>
        <w:t xml:space="preserve"> investigado de manera efectiva, adecuada, imparcial y diligente la contaminación ambiental que implicó </w:t>
      </w:r>
      <w:r w:rsidR="00815A14">
        <w:rPr>
          <w:lang w:val="es-ES"/>
        </w:rPr>
        <w:t>su</w:t>
      </w:r>
      <w:r w:rsidR="00815A14" w:rsidRPr="002B309C">
        <w:rPr>
          <w:lang w:val="es-ES"/>
        </w:rPr>
        <w:t xml:space="preserve"> </w:t>
      </w:r>
      <w:r w:rsidR="002B309C" w:rsidRPr="002B309C">
        <w:rPr>
          <w:lang w:val="es-ES"/>
        </w:rPr>
        <w:t>intoxicación y la muerte del Sr. Portillo Cáceres. En particular</w:t>
      </w:r>
      <w:r w:rsidR="005E1B43">
        <w:rPr>
          <w:lang w:val="es-ES"/>
        </w:rPr>
        <w:t>,</w:t>
      </w:r>
      <w:r w:rsidR="002B309C" w:rsidRPr="002B309C">
        <w:rPr>
          <w:lang w:val="es-ES"/>
        </w:rPr>
        <w:t xml:space="preserve"> </w:t>
      </w:r>
      <w:r w:rsidR="008B7C28">
        <w:rPr>
          <w:lang w:val="es-ES"/>
        </w:rPr>
        <w:t xml:space="preserve">hacen notar que </w:t>
      </w:r>
      <w:r w:rsidR="002B309C" w:rsidRPr="002B309C">
        <w:rPr>
          <w:lang w:val="es-ES"/>
        </w:rPr>
        <w:t xml:space="preserve">nunca se incorporaron a la investigación </w:t>
      </w:r>
      <w:r w:rsidR="00815A14">
        <w:rPr>
          <w:lang w:val="es-ES"/>
        </w:rPr>
        <w:t>sus</w:t>
      </w:r>
      <w:r w:rsidR="00815A14" w:rsidRPr="002B309C">
        <w:rPr>
          <w:lang w:val="es-ES"/>
        </w:rPr>
        <w:t xml:space="preserve"> </w:t>
      </w:r>
      <w:r w:rsidR="002B309C" w:rsidRPr="002B309C">
        <w:rPr>
          <w:lang w:val="es-ES"/>
        </w:rPr>
        <w:t xml:space="preserve">historias clínicas ni los resultados de </w:t>
      </w:r>
      <w:r w:rsidR="00E50FBA">
        <w:rPr>
          <w:lang w:val="es-ES"/>
        </w:rPr>
        <w:t>sus</w:t>
      </w:r>
      <w:r w:rsidR="00E50FBA" w:rsidRPr="002B309C">
        <w:rPr>
          <w:lang w:val="es-ES"/>
        </w:rPr>
        <w:t xml:space="preserve"> </w:t>
      </w:r>
      <w:r w:rsidR="002B309C" w:rsidRPr="002B309C">
        <w:rPr>
          <w:lang w:val="es-ES"/>
        </w:rPr>
        <w:t>exámenes de sangre</w:t>
      </w:r>
      <w:r w:rsidR="00E50FBA">
        <w:rPr>
          <w:lang w:val="es-ES"/>
        </w:rPr>
        <w:t xml:space="preserve"> y orina</w:t>
      </w:r>
      <w:r w:rsidR="002B309C" w:rsidRPr="002B309C">
        <w:rPr>
          <w:lang w:val="es-ES"/>
        </w:rPr>
        <w:t xml:space="preserve">; </w:t>
      </w:r>
      <w:r w:rsidR="00815A14">
        <w:rPr>
          <w:lang w:val="es-ES"/>
        </w:rPr>
        <w:t xml:space="preserve">tampoco </w:t>
      </w:r>
      <w:r w:rsidR="008B7C28">
        <w:rPr>
          <w:lang w:val="es-ES"/>
        </w:rPr>
        <w:t>se condenó a</w:t>
      </w:r>
      <w:r w:rsidR="002B309C" w:rsidRPr="002B309C">
        <w:rPr>
          <w:lang w:val="es-ES"/>
        </w:rPr>
        <w:t xml:space="preserve"> los</w:t>
      </w:r>
      <w:r w:rsidR="008B7C28">
        <w:rPr>
          <w:lang w:val="es-ES"/>
        </w:rPr>
        <w:t xml:space="preserve"> presuntos</w:t>
      </w:r>
      <w:r w:rsidR="002B309C" w:rsidRPr="002B309C">
        <w:rPr>
          <w:lang w:val="es-ES"/>
        </w:rPr>
        <w:t xml:space="preserve"> responsables y la contaminación continúa; </w:t>
      </w:r>
      <w:r w:rsidR="008B06C1">
        <w:rPr>
          <w:lang w:val="es-ES"/>
        </w:rPr>
        <w:t>los</w:t>
      </w:r>
      <w:r w:rsidR="002B309C" w:rsidRPr="002B309C">
        <w:rPr>
          <w:lang w:val="es-ES"/>
        </w:rPr>
        <w:t xml:space="preserve"> dueños de las empresas colindantes que cometieron violaciones constatadas en el ámbito administrativo no fueron investigados en el ámbito penal; el recurso de amparo, favorable en su resolución, nunca fue implementado; ninguno de los recursos ha logrado subsanar la ausencia de barreras vivas en las fumigaciones que continúan; </w:t>
      </w:r>
      <w:r w:rsidR="008B06C1">
        <w:rPr>
          <w:lang w:val="es-ES"/>
        </w:rPr>
        <w:t xml:space="preserve">y </w:t>
      </w:r>
      <w:r w:rsidR="002B309C" w:rsidRPr="002B309C">
        <w:rPr>
          <w:lang w:val="es-ES"/>
        </w:rPr>
        <w:t>no han recibido reparación. El</w:t>
      </w:r>
      <w:r w:rsidR="005C23E3">
        <w:rPr>
          <w:lang w:val="es-ES"/>
        </w:rPr>
        <w:t xml:space="preserve"> Comité observa también que</w:t>
      </w:r>
      <w:r w:rsidR="00E203DF">
        <w:rPr>
          <w:lang w:val="es-ES"/>
        </w:rPr>
        <w:t xml:space="preserve">, </w:t>
      </w:r>
      <w:r w:rsidR="008B7C28">
        <w:rPr>
          <w:lang w:val="es-ES"/>
        </w:rPr>
        <w:t xml:space="preserve">según </w:t>
      </w:r>
      <w:r w:rsidR="005C23E3">
        <w:rPr>
          <w:lang w:val="es-ES"/>
        </w:rPr>
        <w:t>el</w:t>
      </w:r>
      <w:r w:rsidR="002B309C" w:rsidRPr="002B309C">
        <w:rPr>
          <w:lang w:val="es-ES"/>
        </w:rPr>
        <w:t xml:space="preserve"> Estado parte, se identificó a presuntos autores que serán eventualmente sancionados cuando se termine el procedimiento </w:t>
      </w:r>
      <w:r w:rsidR="002B309C" w:rsidRPr="008B06C1">
        <w:rPr>
          <w:lang w:val="es-ES"/>
        </w:rPr>
        <w:t>penal</w:t>
      </w:r>
      <w:r w:rsidR="00D45D2C">
        <w:rPr>
          <w:lang w:val="es-ES"/>
        </w:rPr>
        <w:t>;</w:t>
      </w:r>
      <w:r w:rsidR="002B309C">
        <w:rPr>
          <w:lang w:val="es-ES"/>
        </w:rPr>
        <w:t xml:space="preserve"> </w:t>
      </w:r>
      <w:r w:rsidR="00D45D2C">
        <w:rPr>
          <w:lang w:val="es-ES"/>
        </w:rPr>
        <w:t>s</w:t>
      </w:r>
      <w:r w:rsidR="008B06C1">
        <w:rPr>
          <w:lang w:val="es-ES"/>
        </w:rPr>
        <w:t xml:space="preserve">in embargo, </w:t>
      </w:r>
      <w:r w:rsidR="008B06C1">
        <w:rPr>
          <w:lang w:val="es-ES_tradnl"/>
        </w:rPr>
        <w:t>a</w:t>
      </w:r>
      <w:r w:rsidR="008B06C1" w:rsidRPr="00F31F05">
        <w:rPr>
          <w:lang w:val="es-ES_tradnl"/>
        </w:rPr>
        <w:t xml:space="preserve"> más de 8 años</w:t>
      </w:r>
      <w:r w:rsidR="008B06C1">
        <w:rPr>
          <w:lang w:val="es-ES_tradnl"/>
        </w:rPr>
        <w:t xml:space="preserve"> de los hechos</w:t>
      </w:r>
      <w:r w:rsidR="006867D9">
        <w:rPr>
          <w:lang w:val="es-ES_tradnl"/>
        </w:rPr>
        <w:t xml:space="preserve"> objeto de la presente comunicación</w:t>
      </w:r>
      <w:r w:rsidR="008B06C1">
        <w:rPr>
          <w:lang w:val="es-ES_tradnl"/>
        </w:rPr>
        <w:t>, l</w:t>
      </w:r>
      <w:r w:rsidR="006867D9">
        <w:rPr>
          <w:lang w:val="es-ES_tradnl"/>
        </w:rPr>
        <w:t>as investigaciones no han avanzado sustantivamente y no han permitido la reparación de los daños sufridos</w:t>
      </w:r>
      <w:r w:rsidR="008B7C28">
        <w:rPr>
          <w:lang w:val="es-ES_tradnl"/>
        </w:rPr>
        <w:t xml:space="preserve"> por los autores</w:t>
      </w:r>
      <w:r w:rsidR="008B06C1">
        <w:rPr>
          <w:lang w:val="es-ES_tradnl"/>
        </w:rPr>
        <w:t>, en violación del artículo 2 (3) en conjunto con los artículos 6 y 17 del Pacto.</w:t>
      </w:r>
    </w:p>
    <w:p w:rsidR="007D676C" w:rsidRPr="007D676C" w:rsidRDefault="00053198" w:rsidP="00005F6D">
      <w:pPr>
        <w:pStyle w:val="SingleTxtG"/>
        <w:rPr>
          <w:lang w:val="es-ES"/>
        </w:rPr>
      </w:pPr>
      <w:r>
        <w:rPr>
          <w:lang w:val="es-ES"/>
        </w:rPr>
        <w:t>8.</w:t>
      </w:r>
      <w:r w:rsidR="007D676C" w:rsidRPr="007D676C">
        <w:rPr>
          <w:lang w:val="es-ES"/>
        </w:rPr>
        <w:tab/>
        <w:t>El Comité, actuando en virtud del artículo 5, párrafo 4, del Protocolo Facultativo, dictamina que la información que tiene ante sí pone de manifiesto que el Estado parte ha infringido los artículos</w:t>
      </w:r>
      <w:r w:rsidR="009A534F">
        <w:rPr>
          <w:lang w:val="es-ES"/>
        </w:rPr>
        <w:t xml:space="preserve"> </w:t>
      </w:r>
      <w:r w:rsidR="0058623A">
        <w:rPr>
          <w:lang w:val="es-ES_tradnl" w:eastAsia="es-ES"/>
        </w:rPr>
        <w:t xml:space="preserve">6 </w:t>
      </w:r>
      <w:r w:rsidR="008B06C1">
        <w:rPr>
          <w:lang w:val="es-ES_tradnl" w:eastAsia="es-ES"/>
        </w:rPr>
        <w:t>y 17 del Pacto, leídos solos y en conjunto con el artículo 2 (3)</w:t>
      </w:r>
      <w:r w:rsidR="007D676C" w:rsidRPr="007D676C">
        <w:rPr>
          <w:lang w:val="es-ES"/>
        </w:rPr>
        <w:t>.</w:t>
      </w:r>
    </w:p>
    <w:p w:rsidR="007D676C" w:rsidRPr="007D676C" w:rsidRDefault="00053198" w:rsidP="00005F6D">
      <w:pPr>
        <w:pStyle w:val="SingleTxtG"/>
        <w:rPr>
          <w:lang w:val="es-ES"/>
        </w:rPr>
      </w:pPr>
      <w:r w:rsidRPr="003D3137">
        <w:rPr>
          <w:lang w:val="es-ES"/>
        </w:rPr>
        <w:lastRenderedPageBreak/>
        <w:t>9.</w:t>
      </w:r>
      <w:r w:rsidR="007D676C" w:rsidRPr="003D3137">
        <w:rPr>
          <w:lang w:val="es-ES"/>
        </w:rPr>
        <w:tab/>
        <w:t xml:space="preserve">De conformidad con el artículo 2, párrafo 3, inciso a, del Pacto, el Estado parte tiene la obligación de proporcionar a los autores un recurso efectivo. Ello requiere una reparación integral a las personas cuyos derechos hayan sido vulnerados. En este sentido, el Estado parte debe: a) </w:t>
      </w:r>
      <w:r w:rsidR="00BB7B14" w:rsidRPr="003D3137">
        <w:rPr>
          <w:lang w:val="es-ES_tradnl"/>
        </w:rPr>
        <w:t>investiga</w:t>
      </w:r>
      <w:r w:rsidR="00B44940">
        <w:rPr>
          <w:lang w:val="es-ES_tradnl"/>
        </w:rPr>
        <w:t>r</w:t>
      </w:r>
      <w:r w:rsidR="00BB7B14" w:rsidRPr="003D3137">
        <w:rPr>
          <w:lang w:val="es-ES_tradnl"/>
        </w:rPr>
        <w:t xml:space="preserve"> efectiva</w:t>
      </w:r>
      <w:r w:rsidR="00B44940">
        <w:rPr>
          <w:lang w:val="es-ES_tradnl"/>
        </w:rPr>
        <w:t>mente</w:t>
      </w:r>
      <w:r w:rsidR="00BB7B14" w:rsidRPr="003D3137">
        <w:rPr>
          <w:lang w:val="es-ES_tradnl"/>
        </w:rPr>
        <w:t xml:space="preserve"> y exhaustiva</w:t>
      </w:r>
      <w:r w:rsidR="00B44940">
        <w:rPr>
          <w:lang w:val="es-ES_tradnl"/>
        </w:rPr>
        <w:t>mente</w:t>
      </w:r>
      <w:r w:rsidR="00BB7B14" w:rsidRPr="003D3137">
        <w:rPr>
          <w:lang w:val="es-ES_tradnl"/>
        </w:rPr>
        <w:t xml:space="preserve"> los </w:t>
      </w:r>
      <w:r w:rsidR="00837D1E" w:rsidRPr="003D3137">
        <w:rPr>
          <w:lang w:val="es-ES_tradnl"/>
        </w:rPr>
        <w:t>hechos</w:t>
      </w:r>
      <w:r w:rsidR="00837D1E">
        <w:rPr>
          <w:lang w:val="es-ES_tradnl"/>
        </w:rPr>
        <w:t>;</w:t>
      </w:r>
      <w:r w:rsidR="00BB7B14" w:rsidRPr="003D3137">
        <w:rPr>
          <w:lang w:val="es-ES_tradnl"/>
        </w:rPr>
        <w:t xml:space="preserve"> b) sancionar</w:t>
      </w:r>
      <w:r w:rsidR="00264435">
        <w:rPr>
          <w:lang w:val="es-ES_tradnl"/>
        </w:rPr>
        <w:t>,</w:t>
      </w:r>
      <w:r w:rsidR="00565BE8" w:rsidRPr="003D3137">
        <w:rPr>
          <w:lang w:val="es-ES_tradnl"/>
        </w:rPr>
        <w:t xml:space="preserve"> </w:t>
      </w:r>
      <w:r w:rsidR="00264435">
        <w:rPr>
          <w:lang w:val="es-ES_tradnl"/>
        </w:rPr>
        <w:t>en las vías penales y administrativas,</w:t>
      </w:r>
      <w:r w:rsidR="00264435" w:rsidRPr="003D3137">
        <w:rPr>
          <w:lang w:val="es-ES_tradnl"/>
        </w:rPr>
        <w:t xml:space="preserve"> </w:t>
      </w:r>
      <w:r w:rsidR="00BB7B14" w:rsidRPr="003D3137">
        <w:rPr>
          <w:lang w:val="es-ES_tradnl"/>
        </w:rPr>
        <w:t xml:space="preserve">a </w:t>
      </w:r>
      <w:r w:rsidR="006F1D47">
        <w:rPr>
          <w:lang w:val="es-ES_tradnl"/>
        </w:rPr>
        <w:t xml:space="preserve">todos </w:t>
      </w:r>
      <w:r w:rsidR="00BB7B14" w:rsidRPr="003D3137">
        <w:rPr>
          <w:lang w:val="es-ES_tradnl"/>
        </w:rPr>
        <w:t>los responsables</w:t>
      </w:r>
      <w:r w:rsidR="006F1D47">
        <w:rPr>
          <w:lang w:val="es-ES_tradnl"/>
        </w:rPr>
        <w:t xml:space="preserve"> de los hechos del presente caso</w:t>
      </w:r>
      <w:r w:rsidR="00BB7B14" w:rsidRPr="003D3137">
        <w:rPr>
          <w:lang w:val="es-ES_tradnl"/>
        </w:rPr>
        <w:t xml:space="preserve">; </w:t>
      </w:r>
      <w:r w:rsidR="00EA54CE">
        <w:rPr>
          <w:lang w:val="es-ES_tradnl"/>
        </w:rPr>
        <w:t>c</w:t>
      </w:r>
      <w:r w:rsidR="00565BE8" w:rsidRPr="003D3137">
        <w:rPr>
          <w:lang w:val="es-ES_tradnl"/>
        </w:rPr>
        <w:t>) reparar integralmente a los autores por el daño sufrido</w:t>
      </w:r>
      <w:r w:rsidR="00236D8F">
        <w:rPr>
          <w:lang w:val="es-ES_tradnl"/>
        </w:rPr>
        <w:t xml:space="preserve">, </w:t>
      </w:r>
      <w:r w:rsidR="006867D9">
        <w:rPr>
          <w:lang w:val="es-ES_tradnl"/>
        </w:rPr>
        <w:t xml:space="preserve">incluido </w:t>
      </w:r>
      <w:r w:rsidR="0039330A">
        <w:rPr>
          <w:lang w:val="es-ES_tradnl"/>
        </w:rPr>
        <w:t xml:space="preserve">mediante </w:t>
      </w:r>
      <w:r w:rsidR="006867D9">
        <w:rPr>
          <w:lang w:val="es-ES_tradnl"/>
        </w:rPr>
        <w:t>una indemnización adecuada</w:t>
      </w:r>
      <w:r w:rsidR="00565BE8" w:rsidRPr="003D3137">
        <w:rPr>
          <w:lang w:val="es-ES_tradnl"/>
        </w:rPr>
        <w:t xml:space="preserve">. </w:t>
      </w:r>
      <w:r w:rsidR="007D676C" w:rsidRPr="003D3137">
        <w:rPr>
          <w:lang w:val="es-ES"/>
        </w:rPr>
        <w:t xml:space="preserve">El Estado parte tiene también la obligación de adoptar medidas para evitar que se cometan transgresiones semejantes en el futuro. </w:t>
      </w:r>
    </w:p>
    <w:p w:rsidR="007D676C" w:rsidRPr="007D676C" w:rsidRDefault="00877B58" w:rsidP="00A33196">
      <w:pPr>
        <w:pStyle w:val="SingleTxtG"/>
        <w:rPr>
          <w:lang w:val="es-ES"/>
        </w:rPr>
      </w:pPr>
      <w:r>
        <w:rPr>
          <w:lang w:val="es-ES"/>
        </w:rPr>
        <w:t>10</w:t>
      </w:r>
      <w:r w:rsidR="007D676C" w:rsidRPr="007D676C">
        <w:rPr>
          <w:lang w:val="es-ES"/>
        </w:rPr>
        <w:t>.</w:t>
      </w:r>
      <w:r w:rsidR="007D676C" w:rsidRPr="007D676C">
        <w:rPr>
          <w:lang w:val="es-ES"/>
        </w:rPr>
        <w:tab/>
        <w:t xml:space="preserve">Teniendo presente que, por ser parte en el Protocolo Facultativo, el Estado parte reconoce la competencia del Comité para determinar si ha habido o no violación del Pacto y que, con arreglo al artículo 2 del Pacto, el Estado parte se ha comprometido a garantizar a todos los individuos que se encuentren en su territorio y estén sujetos a su jurisdicción los derechos reconocidos en el Pacto y a garantizar una reparación efectiva y jurídicamente exigible cuando se compruebe una violación, el Comité desea recibir del Estado parte, en un plazo de 180 días, información sobre las medidas que haya adoptado para aplicar el presente dictamen. Se pide asimismo al Estado parte </w:t>
      </w:r>
      <w:r w:rsidR="00A33196" w:rsidRPr="000378BF">
        <w:rPr>
          <w:lang w:val="es-ES"/>
        </w:rPr>
        <w:t>que publique el presente dictamen y que le dé amplia difusión</w:t>
      </w:r>
      <w:r w:rsidR="00CD1CA2">
        <w:rPr>
          <w:lang w:val="es-ES"/>
        </w:rPr>
        <w:t>,</w:t>
      </w:r>
      <w:r w:rsidR="00A33196">
        <w:rPr>
          <w:lang w:val="es-ES"/>
        </w:rPr>
        <w:t xml:space="preserve"> en particular </w:t>
      </w:r>
      <w:r w:rsidR="002B756C">
        <w:rPr>
          <w:lang w:val="es-ES"/>
        </w:rPr>
        <w:t xml:space="preserve">en un diario </w:t>
      </w:r>
      <w:r w:rsidR="0068053D">
        <w:rPr>
          <w:lang w:val="es-ES"/>
        </w:rPr>
        <w:t xml:space="preserve">de amplia circulación en el </w:t>
      </w:r>
      <w:r w:rsidR="0068053D">
        <w:rPr>
          <w:rFonts w:eastAsia="Calibri"/>
          <w:lang w:val="es-ES_tradnl"/>
        </w:rPr>
        <w:t>Departamento de Canindeyú</w:t>
      </w:r>
      <w:r w:rsidR="007D676C" w:rsidRPr="007D676C">
        <w:rPr>
          <w:lang w:val="es-ES"/>
        </w:rPr>
        <w:t>.</w:t>
      </w:r>
    </w:p>
    <w:p w:rsidR="006333EF" w:rsidRPr="00DE7918" w:rsidRDefault="000378BF" w:rsidP="00537730">
      <w:pPr>
        <w:pStyle w:val="SingleTxtG"/>
        <w:spacing w:before="240" w:after="0"/>
        <w:jc w:val="center"/>
        <w:rPr>
          <w:u w:val="single"/>
          <w:lang w:val="es-ES"/>
        </w:rPr>
      </w:pPr>
      <w:r w:rsidRPr="000378BF">
        <w:rPr>
          <w:u w:val="single"/>
          <w:lang w:val="es-ES"/>
        </w:rPr>
        <w:tab/>
      </w:r>
      <w:r w:rsidRPr="000378BF">
        <w:rPr>
          <w:u w:val="single"/>
          <w:lang w:val="es-ES"/>
        </w:rPr>
        <w:tab/>
      </w:r>
      <w:r w:rsidRPr="000378BF">
        <w:rPr>
          <w:u w:val="single"/>
          <w:lang w:val="es-ES"/>
        </w:rPr>
        <w:tab/>
      </w:r>
    </w:p>
    <w:sectPr w:rsidR="006333EF" w:rsidRPr="00DE7918" w:rsidSect="000D7494">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9A4" w:rsidRPr="00B903E5" w:rsidRDefault="000F19A4" w:rsidP="00B903E5">
      <w:pPr>
        <w:pStyle w:val="Footer"/>
      </w:pPr>
    </w:p>
  </w:endnote>
  <w:endnote w:type="continuationSeparator" w:id="0">
    <w:p w:rsidR="000F19A4" w:rsidRPr="00B903E5" w:rsidRDefault="000F19A4"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957" w:rsidRPr="006A31AE" w:rsidRDefault="00AA5957" w:rsidP="006A31AE">
    <w:pPr>
      <w:pStyle w:val="Footer"/>
      <w:tabs>
        <w:tab w:val="right" w:pos="9598"/>
      </w:tabs>
    </w:pPr>
    <w:r w:rsidRPr="006A31AE">
      <w:rPr>
        <w:b/>
        <w:sz w:val="18"/>
      </w:rPr>
      <w:fldChar w:fldCharType="begin"/>
    </w:r>
    <w:r w:rsidRPr="006A31AE">
      <w:rPr>
        <w:b/>
        <w:sz w:val="18"/>
      </w:rPr>
      <w:instrText xml:space="preserve"> PAGE  \* MERGEFORMAT </w:instrText>
    </w:r>
    <w:r w:rsidRPr="006A31AE">
      <w:rPr>
        <w:b/>
        <w:sz w:val="18"/>
      </w:rPr>
      <w:fldChar w:fldCharType="separate"/>
    </w:r>
    <w:r w:rsidR="009822E2">
      <w:rPr>
        <w:b/>
        <w:noProof/>
        <w:sz w:val="18"/>
      </w:rPr>
      <w:t>16</w:t>
    </w:r>
    <w:r w:rsidRPr="006A31A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957" w:rsidRPr="006A31AE" w:rsidRDefault="00AA5957" w:rsidP="006A31AE">
    <w:pPr>
      <w:pStyle w:val="Footer"/>
      <w:tabs>
        <w:tab w:val="right" w:pos="9598"/>
      </w:tabs>
      <w:rPr>
        <w:b/>
        <w:sz w:val="18"/>
      </w:rPr>
    </w:pPr>
    <w:r>
      <w:tab/>
    </w:r>
    <w:r w:rsidRPr="006A31AE">
      <w:rPr>
        <w:b/>
        <w:sz w:val="18"/>
      </w:rPr>
      <w:fldChar w:fldCharType="begin"/>
    </w:r>
    <w:r w:rsidRPr="006A31AE">
      <w:rPr>
        <w:b/>
        <w:sz w:val="18"/>
      </w:rPr>
      <w:instrText xml:space="preserve"> PAGE  \* MERGEFORMAT </w:instrText>
    </w:r>
    <w:r w:rsidRPr="006A31AE">
      <w:rPr>
        <w:b/>
        <w:sz w:val="18"/>
      </w:rPr>
      <w:fldChar w:fldCharType="separate"/>
    </w:r>
    <w:r w:rsidR="009822E2">
      <w:rPr>
        <w:b/>
        <w:noProof/>
        <w:sz w:val="18"/>
      </w:rPr>
      <w:t>17</w:t>
    </w:r>
    <w:r w:rsidRPr="006A31A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957" w:rsidRPr="00537730" w:rsidRDefault="00537730" w:rsidP="00537730">
    <w:pPr>
      <w:pStyle w:val="Footer"/>
      <w:spacing w:before="120"/>
      <w:rPr>
        <w:sz w:val="20"/>
      </w:rPr>
    </w:pPr>
    <w:r w:rsidRPr="00537730">
      <w:rPr>
        <w:rFonts w:ascii="C39T30Lfz" w:hAnsi="C39T30Lfz"/>
        <w:noProof/>
        <w:sz w:val="56"/>
        <w:lang w:eastAsia="en-GB"/>
      </w:rPr>
      <w:drawing>
        <wp:anchor distT="0" distB="0" distL="114300" distR="114300" simplePos="0" relativeHeight="251660288" behindDoc="0" locked="1" layoutInCell="1" allowOverlap="1" wp14:anchorId="209F8E1F" wp14:editId="241BED9E">
          <wp:simplePos x="0" y="0"/>
          <wp:positionH relativeFrom="margin">
            <wp:posOffset>4319905</wp:posOffset>
          </wp:positionH>
          <wp:positionV relativeFrom="margin">
            <wp:posOffset>9145270</wp:posOffset>
          </wp:positionV>
          <wp:extent cx="1087200" cy="230400"/>
          <wp:effectExtent l="0" t="0" r="0" b="0"/>
          <wp:wrapNone/>
          <wp:docPr id="3"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00" cy="230400"/>
                  </a:xfrm>
                  <a:prstGeom prst="rect">
                    <a:avLst/>
                  </a:prstGeom>
                  <a:noFill/>
                </pic:spPr>
              </pic:pic>
            </a:graphicData>
          </a:graphic>
          <wp14:sizeRelH relativeFrom="page">
            <wp14:pctWidth>0</wp14:pctWidth>
          </wp14:sizeRelH>
          <wp14:sizeRelV relativeFrom="page">
            <wp14:pctHeight>0</wp14:pctHeight>
          </wp14:sizeRelV>
        </wp:anchor>
      </w:drawing>
    </w:r>
    <w:r>
      <w:rPr>
        <w:noProof/>
        <w:sz w:val="20"/>
        <w:lang w:eastAsia="en-GB"/>
      </w:rPr>
      <w:drawing>
        <wp:anchor distT="0" distB="0" distL="114300" distR="114300" simplePos="0" relativeHeight="251658240" behindDoc="0" locked="0" layoutInCell="1" allowOverlap="1" wp14:anchorId="3C511555" wp14:editId="70E52780">
          <wp:simplePos x="0" y="0"/>
          <wp:positionH relativeFrom="margin">
            <wp:posOffset>5489575</wp:posOffset>
          </wp:positionH>
          <wp:positionV relativeFrom="margin">
            <wp:posOffset>8891905</wp:posOffset>
          </wp:positionV>
          <wp:extent cx="638175" cy="638175"/>
          <wp:effectExtent l="0" t="0" r="9525" b="9525"/>
          <wp:wrapNone/>
          <wp:docPr id="2" name="Picture 1" descr="https://undocs.org/m2/QRCode.ashx?DS=CCPR/C/126/DR/2751/2016&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26/DR/2751/2016&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9A4" w:rsidRPr="00B903E5" w:rsidRDefault="000F19A4" w:rsidP="00B903E5">
      <w:pPr>
        <w:tabs>
          <w:tab w:val="right" w:pos="2155"/>
        </w:tabs>
        <w:spacing w:after="80" w:line="240" w:lineRule="auto"/>
        <w:ind w:left="680"/>
      </w:pPr>
      <w:r>
        <w:rPr>
          <w:u w:val="single"/>
        </w:rPr>
        <w:tab/>
      </w:r>
    </w:p>
  </w:footnote>
  <w:footnote w:type="continuationSeparator" w:id="0">
    <w:p w:rsidR="000F19A4" w:rsidRPr="00B903E5" w:rsidRDefault="000F19A4" w:rsidP="00B903E5">
      <w:pPr>
        <w:tabs>
          <w:tab w:val="right" w:pos="2155"/>
        </w:tabs>
        <w:spacing w:after="80" w:line="240" w:lineRule="auto"/>
        <w:ind w:left="680"/>
      </w:pPr>
      <w:r>
        <w:rPr>
          <w:u w:val="single"/>
        </w:rPr>
        <w:tab/>
      </w:r>
    </w:p>
  </w:footnote>
  <w:footnote w:id="1">
    <w:p w:rsidR="00DB5A39" w:rsidRPr="00175184" w:rsidRDefault="00DB5A39" w:rsidP="00DB5A39">
      <w:pPr>
        <w:pStyle w:val="FootnoteText"/>
        <w:rPr>
          <w:sz w:val="16"/>
          <w:szCs w:val="16"/>
          <w:lang w:val="es-ES"/>
        </w:rPr>
      </w:pPr>
      <w:r w:rsidRPr="00C82052">
        <w:rPr>
          <w:rStyle w:val="FootnoteReference"/>
          <w:sz w:val="16"/>
          <w:szCs w:val="16"/>
          <w:lang w:val="es-ES"/>
        </w:rPr>
        <w:tab/>
      </w:r>
      <w:r w:rsidRPr="00C82052">
        <w:rPr>
          <w:rStyle w:val="FootnoteReference"/>
          <w:sz w:val="16"/>
          <w:szCs w:val="16"/>
          <w:vertAlign w:val="baseline"/>
          <w:lang w:val="es-ES"/>
        </w:rPr>
        <w:t>*</w:t>
      </w:r>
      <w:r w:rsidRPr="00C82052">
        <w:rPr>
          <w:rStyle w:val="FootnoteReference"/>
          <w:sz w:val="16"/>
          <w:szCs w:val="16"/>
          <w:vertAlign w:val="baseline"/>
          <w:lang w:val="es-ES"/>
        </w:rPr>
        <w:tab/>
      </w:r>
      <w:r>
        <w:rPr>
          <w:lang w:val="es-ES"/>
        </w:rPr>
        <w:t>Adoptado por el Comité en su 126° período de sesiones (1 a 26</w:t>
      </w:r>
      <w:r w:rsidRPr="00BE3D7B">
        <w:rPr>
          <w:lang w:val="es-ES"/>
        </w:rPr>
        <w:t xml:space="preserve"> de </w:t>
      </w:r>
      <w:r>
        <w:rPr>
          <w:lang w:val="es-ES"/>
        </w:rPr>
        <w:t>julio</w:t>
      </w:r>
      <w:r w:rsidRPr="00BE3D7B">
        <w:rPr>
          <w:lang w:val="es-ES"/>
        </w:rPr>
        <w:t xml:space="preserve"> de 2019)</w:t>
      </w:r>
      <w:r w:rsidRPr="00175184">
        <w:rPr>
          <w:lang w:val="es-ES"/>
        </w:rPr>
        <w:t>.</w:t>
      </w:r>
    </w:p>
  </w:footnote>
  <w:footnote w:id="2">
    <w:p w:rsidR="00DB5A39" w:rsidRPr="00314B3F" w:rsidRDefault="00DB5A39" w:rsidP="00314B3F">
      <w:pPr>
        <w:pStyle w:val="FootnoteText"/>
        <w:jc w:val="both"/>
        <w:rPr>
          <w:lang w:val="es-ES_tradnl"/>
        </w:rPr>
      </w:pPr>
      <w:r w:rsidRPr="00C82052">
        <w:rPr>
          <w:rStyle w:val="FootnoteReference"/>
          <w:sz w:val="16"/>
          <w:szCs w:val="16"/>
          <w:lang w:val="es-ES"/>
        </w:rPr>
        <w:tab/>
      </w:r>
      <w:r w:rsidRPr="00C82052">
        <w:rPr>
          <w:rStyle w:val="FootnoteReference"/>
          <w:sz w:val="16"/>
          <w:szCs w:val="16"/>
          <w:vertAlign w:val="baseline"/>
          <w:lang w:val="es-ES"/>
        </w:rPr>
        <w:t>**</w:t>
      </w:r>
      <w:r w:rsidRPr="00C82052">
        <w:rPr>
          <w:rStyle w:val="FootnoteReference"/>
          <w:sz w:val="16"/>
          <w:szCs w:val="16"/>
          <w:vertAlign w:val="baseline"/>
          <w:lang w:val="es-ES"/>
        </w:rPr>
        <w:tab/>
      </w:r>
      <w:r w:rsidRPr="00DA2C96">
        <w:rPr>
          <w:lang w:val="es-ES_tradnl"/>
        </w:rPr>
        <w:t xml:space="preserve">Los siguientes miembros del Comité participaron en el examen de la presente comunicación: </w:t>
      </w:r>
      <w:proofErr w:type="spellStart"/>
      <w:r w:rsidRPr="00DA2C96">
        <w:rPr>
          <w:lang w:val="es-ES_tradnl"/>
        </w:rPr>
        <w:t>Yadh</w:t>
      </w:r>
      <w:proofErr w:type="spellEnd"/>
      <w:r w:rsidRPr="00DA2C96">
        <w:rPr>
          <w:lang w:val="es-ES_tradnl"/>
        </w:rPr>
        <w:t xml:space="preserve"> Ben </w:t>
      </w:r>
      <w:proofErr w:type="spellStart"/>
      <w:r w:rsidRPr="00DA2C96">
        <w:rPr>
          <w:lang w:val="es-ES_tradnl"/>
        </w:rPr>
        <w:t>Achour</w:t>
      </w:r>
      <w:proofErr w:type="spellEnd"/>
      <w:r w:rsidRPr="00DA2C96">
        <w:rPr>
          <w:lang w:val="es-ES_tradnl"/>
        </w:rPr>
        <w:t xml:space="preserve">, </w:t>
      </w:r>
      <w:proofErr w:type="spellStart"/>
      <w:r w:rsidRPr="00DA2C96">
        <w:rPr>
          <w:lang w:val="es-ES_tradnl"/>
        </w:rPr>
        <w:t>Ilze</w:t>
      </w:r>
      <w:proofErr w:type="spellEnd"/>
      <w:r w:rsidRPr="00DA2C96">
        <w:rPr>
          <w:lang w:val="es-ES_tradnl"/>
        </w:rPr>
        <w:t xml:space="preserve"> </w:t>
      </w:r>
      <w:proofErr w:type="spellStart"/>
      <w:r w:rsidRPr="00DA2C96">
        <w:rPr>
          <w:lang w:val="es-ES_tradnl"/>
        </w:rPr>
        <w:t>Brands</w:t>
      </w:r>
      <w:proofErr w:type="spellEnd"/>
      <w:r w:rsidRPr="00DA2C96">
        <w:rPr>
          <w:lang w:val="es-ES_tradnl"/>
        </w:rPr>
        <w:t xml:space="preserve"> </w:t>
      </w:r>
      <w:proofErr w:type="spellStart"/>
      <w:r w:rsidRPr="00DA2C96">
        <w:rPr>
          <w:lang w:val="es-ES_tradnl"/>
        </w:rPr>
        <w:t>Kehris</w:t>
      </w:r>
      <w:proofErr w:type="spellEnd"/>
      <w:r w:rsidRPr="00DA2C96">
        <w:rPr>
          <w:lang w:val="es-ES_tradnl"/>
        </w:rPr>
        <w:t xml:space="preserve">, </w:t>
      </w:r>
      <w:proofErr w:type="spellStart"/>
      <w:r w:rsidRPr="00DA2C96">
        <w:rPr>
          <w:lang w:val="es-ES_tradnl"/>
        </w:rPr>
        <w:t>Arif</w:t>
      </w:r>
      <w:proofErr w:type="spellEnd"/>
      <w:r w:rsidRPr="00DA2C96">
        <w:rPr>
          <w:lang w:val="es-ES_tradnl"/>
        </w:rPr>
        <w:t xml:space="preserve"> </w:t>
      </w:r>
      <w:proofErr w:type="spellStart"/>
      <w:r w:rsidRPr="00DA2C96">
        <w:rPr>
          <w:lang w:val="es-ES_tradnl"/>
        </w:rPr>
        <w:t>Bulkan</w:t>
      </w:r>
      <w:proofErr w:type="spellEnd"/>
      <w:r w:rsidRPr="00DA2C96">
        <w:rPr>
          <w:lang w:val="es-ES_tradnl"/>
        </w:rPr>
        <w:t xml:space="preserve">, Ahmed </w:t>
      </w:r>
      <w:proofErr w:type="spellStart"/>
      <w:r w:rsidRPr="00DA2C96">
        <w:rPr>
          <w:lang w:val="es-ES_tradnl"/>
        </w:rPr>
        <w:t>Amin</w:t>
      </w:r>
      <w:proofErr w:type="spellEnd"/>
      <w:r w:rsidRPr="00DA2C96">
        <w:rPr>
          <w:lang w:val="es-ES_tradnl"/>
        </w:rPr>
        <w:t xml:space="preserve"> </w:t>
      </w:r>
      <w:proofErr w:type="spellStart"/>
      <w:r w:rsidRPr="00DA2C96">
        <w:rPr>
          <w:lang w:val="es-ES_tradnl"/>
        </w:rPr>
        <w:t>Fathalla</w:t>
      </w:r>
      <w:proofErr w:type="spellEnd"/>
      <w:r w:rsidRPr="00DA2C96">
        <w:rPr>
          <w:lang w:val="es-ES_tradnl"/>
        </w:rPr>
        <w:t xml:space="preserve">, </w:t>
      </w:r>
      <w:proofErr w:type="spellStart"/>
      <w:r w:rsidRPr="00DA2C96">
        <w:rPr>
          <w:lang w:val="es-ES_tradnl"/>
        </w:rPr>
        <w:t>Shuichi</w:t>
      </w:r>
      <w:proofErr w:type="spellEnd"/>
      <w:r w:rsidRPr="00DA2C96">
        <w:rPr>
          <w:lang w:val="es-ES_tradnl"/>
        </w:rPr>
        <w:t xml:space="preserve"> </w:t>
      </w:r>
      <w:proofErr w:type="spellStart"/>
      <w:r w:rsidRPr="00DA2C96">
        <w:rPr>
          <w:lang w:val="es-ES_tradnl"/>
        </w:rPr>
        <w:t>Furuya</w:t>
      </w:r>
      <w:proofErr w:type="spellEnd"/>
      <w:r w:rsidRPr="00DA2C96">
        <w:rPr>
          <w:lang w:val="es-ES_tradnl"/>
        </w:rPr>
        <w:t xml:space="preserve">, </w:t>
      </w:r>
      <w:proofErr w:type="spellStart"/>
      <w:r w:rsidRPr="00DA2C96">
        <w:rPr>
          <w:lang w:val="es-ES_tradnl"/>
        </w:rPr>
        <w:t>Christof</w:t>
      </w:r>
      <w:proofErr w:type="spellEnd"/>
      <w:r w:rsidRPr="00DA2C96">
        <w:rPr>
          <w:lang w:val="es-ES_tradnl"/>
        </w:rPr>
        <w:t xml:space="preserve"> </w:t>
      </w:r>
      <w:proofErr w:type="spellStart"/>
      <w:r w:rsidRPr="00DA2C96">
        <w:rPr>
          <w:lang w:val="es-ES_tradnl"/>
        </w:rPr>
        <w:t>Heyns</w:t>
      </w:r>
      <w:proofErr w:type="spellEnd"/>
      <w:r w:rsidRPr="00DA2C96">
        <w:rPr>
          <w:lang w:val="es-ES_tradnl"/>
        </w:rPr>
        <w:t xml:space="preserve">, </w:t>
      </w:r>
      <w:proofErr w:type="spellStart"/>
      <w:r w:rsidRPr="00DA2C96">
        <w:rPr>
          <w:lang w:val="es-ES_tradnl"/>
        </w:rPr>
        <w:t>Bamariam</w:t>
      </w:r>
      <w:proofErr w:type="spellEnd"/>
      <w:r w:rsidRPr="00DA2C96">
        <w:rPr>
          <w:lang w:val="es-ES_tradnl"/>
        </w:rPr>
        <w:t xml:space="preserve"> </w:t>
      </w:r>
      <w:proofErr w:type="spellStart"/>
      <w:r w:rsidRPr="00DA2C96">
        <w:rPr>
          <w:lang w:val="es-ES_tradnl"/>
        </w:rPr>
        <w:t>Koita</w:t>
      </w:r>
      <w:proofErr w:type="spellEnd"/>
      <w:r w:rsidRPr="00DA2C96">
        <w:rPr>
          <w:lang w:val="es-ES_tradnl"/>
        </w:rPr>
        <w:t xml:space="preserve">, Duncan </w:t>
      </w:r>
      <w:proofErr w:type="spellStart"/>
      <w:r w:rsidRPr="00DA2C96">
        <w:rPr>
          <w:lang w:val="es-ES_tradnl"/>
        </w:rPr>
        <w:t>Laki</w:t>
      </w:r>
      <w:proofErr w:type="spellEnd"/>
      <w:r w:rsidRPr="00DA2C96">
        <w:rPr>
          <w:lang w:val="es-ES_tradnl"/>
        </w:rPr>
        <w:t xml:space="preserve"> </w:t>
      </w:r>
      <w:proofErr w:type="spellStart"/>
      <w:r w:rsidRPr="00DA2C96">
        <w:rPr>
          <w:lang w:val="es-ES_tradnl"/>
        </w:rPr>
        <w:t>Muhumuza</w:t>
      </w:r>
      <w:proofErr w:type="spellEnd"/>
      <w:r w:rsidRPr="00DA2C96">
        <w:rPr>
          <w:lang w:val="es-ES_tradnl"/>
        </w:rPr>
        <w:t xml:space="preserve">, </w:t>
      </w:r>
      <w:proofErr w:type="spellStart"/>
      <w:r w:rsidRPr="00DA2C96">
        <w:rPr>
          <w:lang w:val="es-ES_tradnl"/>
        </w:rPr>
        <w:t>Photini</w:t>
      </w:r>
      <w:proofErr w:type="spellEnd"/>
      <w:r w:rsidRPr="00DA2C96">
        <w:rPr>
          <w:lang w:val="es-ES_tradnl"/>
        </w:rPr>
        <w:t xml:space="preserve"> </w:t>
      </w:r>
      <w:proofErr w:type="spellStart"/>
      <w:r w:rsidRPr="00DA2C96">
        <w:rPr>
          <w:lang w:val="es-ES_tradnl"/>
        </w:rPr>
        <w:t>Pazartzis</w:t>
      </w:r>
      <w:proofErr w:type="spellEnd"/>
      <w:r w:rsidRPr="00DA2C96">
        <w:rPr>
          <w:lang w:val="es-ES_tradnl"/>
        </w:rPr>
        <w:t xml:space="preserve">, Hernán Quezada, </w:t>
      </w:r>
      <w:proofErr w:type="spellStart"/>
      <w:r w:rsidRPr="00DA2C96">
        <w:rPr>
          <w:lang w:val="es-ES_tradnl"/>
        </w:rPr>
        <w:t>Vasilka</w:t>
      </w:r>
      <w:proofErr w:type="spellEnd"/>
      <w:r w:rsidRPr="00DA2C96">
        <w:rPr>
          <w:lang w:val="es-ES_tradnl"/>
        </w:rPr>
        <w:t xml:space="preserve"> </w:t>
      </w:r>
      <w:proofErr w:type="spellStart"/>
      <w:r w:rsidRPr="00DA2C96">
        <w:rPr>
          <w:lang w:val="es-ES_tradnl"/>
        </w:rPr>
        <w:t>Sancin</w:t>
      </w:r>
      <w:proofErr w:type="spellEnd"/>
      <w:r w:rsidRPr="00DA2C96">
        <w:rPr>
          <w:lang w:val="es-ES_tradnl"/>
        </w:rPr>
        <w:t xml:space="preserve">, José Manuel Santos </w:t>
      </w:r>
      <w:proofErr w:type="spellStart"/>
      <w:r w:rsidRPr="00DA2C96">
        <w:rPr>
          <w:lang w:val="es-ES_tradnl"/>
        </w:rPr>
        <w:t>Pais</w:t>
      </w:r>
      <w:proofErr w:type="spellEnd"/>
      <w:r w:rsidRPr="00DA2C96">
        <w:rPr>
          <w:lang w:val="es-ES_tradnl"/>
        </w:rPr>
        <w:t xml:space="preserve">, </w:t>
      </w:r>
      <w:proofErr w:type="spellStart"/>
      <w:r w:rsidRPr="00DA2C96">
        <w:rPr>
          <w:lang w:val="es-ES_tradnl"/>
        </w:rPr>
        <w:t>Yuval</w:t>
      </w:r>
      <w:proofErr w:type="spellEnd"/>
      <w:r w:rsidRPr="00DA2C96">
        <w:rPr>
          <w:lang w:val="es-ES_tradnl"/>
        </w:rPr>
        <w:t xml:space="preserve"> </w:t>
      </w:r>
      <w:proofErr w:type="spellStart"/>
      <w:r w:rsidRPr="00DA2C96">
        <w:rPr>
          <w:lang w:val="es-ES_tradnl"/>
        </w:rPr>
        <w:t>Shany</w:t>
      </w:r>
      <w:proofErr w:type="spellEnd"/>
      <w:r w:rsidRPr="00DA2C96">
        <w:rPr>
          <w:lang w:val="es-ES_tradnl"/>
        </w:rPr>
        <w:t xml:space="preserve">, Hélène </w:t>
      </w:r>
      <w:proofErr w:type="spellStart"/>
      <w:r w:rsidRPr="00DA2C96">
        <w:rPr>
          <w:lang w:val="es-ES_tradnl"/>
        </w:rPr>
        <w:t>Tigroudja</w:t>
      </w:r>
      <w:proofErr w:type="spellEnd"/>
      <w:r w:rsidRPr="00DA2C96">
        <w:rPr>
          <w:lang w:val="es-ES_tradnl"/>
        </w:rPr>
        <w:t xml:space="preserve">, Andreas </w:t>
      </w:r>
      <w:proofErr w:type="spellStart"/>
      <w:r w:rsidRPr="00DA2C96">
        <w:rPr>
          <w:lang w:val="es-ES_tradnl"/>
        </w:rPr>
        <w:t>Zimmermann</w:t>
      </w:r>
      <w:proofErr w:type="spellEnd"/>
      <w:r w:rsidRPr="00DA2C96">
        <w:rPr>
          <w:lang w:val="es-ES_tradnl"/>
        </w:rPr>
        <w:t xml:space="preserve"> y </w:t>
      </w:r>
      <w:proofErr w:type="spellStart"/>
      <w:r w:rsidRPr="00DA2C96">
        <w:rPr>
          <w:lang w:val="es-ES_tradnl"/>
        </w:rPr>
        <w:t>Gentian</w:t>
      </w:r>
      <w:proofErr w:type="spellEnd"/>
      <w:r w:rsidRPr="00DA2C96">
        <w:rPr>
          <w:lang w:val="es-ES_tradnl"/>
        </w:rPr>
        <w:t xml:space="preserve"> </w:t>
      </w:r>
      <w:proofErr w:type="spellStart"/>
      <w:r w:rsidRPr="00DA2C96">
        <w:rPr>
          <w:lang w:val="es-ES_tradnl"/>
        </w:rPr>
        <w:t>Zyberi</w:t>
      </w:r>
      <w:proofErr w:type="spellEnd"/>
      <w:r w:rsidRPr="009D1011">
        <w:rPr>
          <w:lang w:val="es-ES_tradnl"/>
        </w:rPr>
        <w:t>.</w:t>
      </w:r>
    </w:p>
  </w:footnote>
  <w:footnote w:id="3">
    <w:p w:rsidR="00AA5957" w:rsidRPr="00CC6392" w:rsidRDefault="00AA5957" w:rsidP="00CC6392">
      <w:pPr>
        <w:pStyle w:val="FootnoteText"/>
        <w:jc w:val="both"/>
        <w:rPr>
          <w:lang w:val="es-ES"/>
        </w:rPr>
      </w:pPr>
      <w:r>
        <w:rPr>
          <w:lang w:val="es-ES"/>
        </w:rPr>
        <w:tab/>
      </w:r>
      <w:r>
        <w:rPr>
          <w:rStyle w:val="FootnoteReference"/>
        </w:rPr>
        <w:footnoteRef/>
      </w:r>
      <w:r>
        <w:rPr>
          <w:lang w:val="es-ES"/>
        </w:rPr>
        <w:tab/>
      </w:r>
      <w:r w:rsidRPr="00CC6392">
        <w:rPr>
          <w:lang w:val="es-ES"/>
        </w:rPr>
        <w:t>Decreto n.° 2.048/04</w:t>
      </w:r>
      <w:r>
        <w:rPr>
          <w:lang w:val="es-ES"/>
        </w:rPr>
        <w:t xml:space="preserve"> </w:t>
      </w:r>
      <w:r w:rsidR="005232D5">
        <w:rPr>
          <w:lang w:val="es-ES"/>
        </w:rPr>
        <w:t>sobre</w:t>
      </w:r>
      <w:r w:rsidRPr="00CC6392">
        <w:rPr>
          <w:lang w:val="es-ES"/>
        </w:rPr>
        <w:t xml:space="preserve"> barreras vegetale</w:t>
      </w:r>
      <w:r>
        <w:rPr>
          <w:lang w:val="es-ES"/>
        </w:rPr>
        <w:t>s de protección de los caminos.</w:t>
      </w:r>
    </w:p>
  </w:footnote>
  <w:footnote w:id="4">
    <w:p w:rsidR="00F1098A" w:rsidRPr="00594DD1" w:rsidRDefault="00F1098A" w:rsidP="00F1098A">
      <w:pPr>
        <w:pStyle w:val="FootnoteText"/>
        <w:jc w:val="both"/>
        <w:rPr>
          <w:lang w:val="es-ES"/>
        </w:rPr>
      </w:pPr>
      <w:r>
        <w:rPr>
          <w:lang w:val="es-ES"/>
        </w:rPr>
        <w:tab/>
      </w:r>
      <w:r w:rsidRPr="00594DD1">
        <w:rPr>
          <w:rStyle w:val="FootnoteReference"/>
          <w:lang w:val="es-ES"/>
        </w:rPr>
        <w:footnoteRef/>
      </w:r>
      <w:r>
        <w:rPr>
          <w:lang w:val="es-ES"/>
        </w:rPr>
        <w:tab/>
      </w:r>
      <w:r w:rsidRPr="00594DD1">
        <w:rPr>
          <w:lang w:val="es-ES"/>
        </w:rPr>
        <w:t xml:space="preserve">Resolución n.° 485/03 </w:t>
      </w:r>
      <w:r w:rsidR="005232D5">
        <w:rPr>
          <w:lang w:val="es-ES"/>
        </w:rPr>
        <w:t xml:space="preserve">sobre </w:t>
      </w:r>
      <w:r w:rsidRPr="00594DD1">
        <w:rPr>
          <w:lang w:val="es-ES"/>
        </w:rPr>
        <w:t>barreras vegetales de protección de poblados</w:t>
      </w:r>
      <w:r>
        <w:rPr>
          <w:lang w:val="es-ES"/>
        </w:rPr>
        <w:t>.</w:t>
      </w:r>
    </w:p>
  </w:footnote>
  <w:footnote w:id="5">
    <w:p w:rsidR="00AA5957" w:rsidRPr="00DE4FBC" w:rsidRDefault="00AA5957" w:rsidP="00F642F0">
      <w:pPr>
        <w:pStyle w:val="FootnoteText"/>
        <w:jc w:val="both"/>
        <w:rPr>
          <w:lang w:val="es-ES"/>
        </w:rPr>
      </w:pPr>
      <w:r>
        <w:rPr>
          <w:lang w:val="es-ES"/>
        </w:rPr>
        <w:tab/>
      </w:r>
      <w:r w:rsidRPr="00DE4FBC">
        <w:rPr>
          <w:rStyle w:val="FootnoteReference"/>
          <w:lang w:val="es-ES"/>
        </w:rPr>
        <w:footnoteRef/>
      </w:r>
      <w:r>
        <w:rPr>
          <w:lang w:val="es-ES"/>
        </w:rPr>
        <w:tab/>
      </w:r>
      <w:r w:rsidRPr="00DE4FBC">
        <w:rPr>
          <w:lang w:val="es-ES"/>
        </w:rPr>
        <w:t>Decreto n.° 18.831/86</w:t>
      </w:r>
      <w:r>
        <w:rPr>
          <w:lang w:val="es-ES"/>
        </w:rPr>
        <w:t xml:space="preserve"> </w:t>
      </w:r>
      <w:r w:rsidR="005232D5">
        <w:rPr>
          <w:lang w:val="es-ES"/>
        </w:rPr>
        <w:t>sobre</w:t>
      </w:r>
      <w:r>
        <w:rPr>
          <w:lang w:val="es-ES"/>
        </w:rPr>
        <w:t xml:space="preserve"> </w:t>
      </w:r>
      <w:r w:rsidRPr="00DE4FBC">
        <w:rPr>
          <w:lang w:val="es-ES"/>
        </w:rPr>
        <w:t>medidas de protección</w:t>
      </w:r>
      <w:r>
        <w:rPr>
          <w:lang w:val="es-ES"/>
        </w:rPr>
        <w:t xml:space="preserve"> de cursos de agua y nacientes.</w:t>
      </w:r>
    </w:p>
  </w:footnote>
  <w:footnote w:id="6">
    <w:p w:rsidR="00AA5957" w:rsidRPr="00DB473C" w:rsidRDefault="00AA5957" w:rsidP="00DB473C">
      <w:pPr>
        <w:pStyle w:val="FootnoteText"/>
        <w:jc w:val="both"/>
        <w:rPr>
          <w:lang w:val="es-ES"/>
        </w:rPr>
      </w:pPr>
      <w:r>
        <w:rPr>
          <w:lang w:val="es-ES"/>
        </w:rPr>
        <w:tab/>
      </w:r>
      <w:r w:rsidRPr="00DB473C">
        <w:rPr>
          <w:rStyle w:val="FootnoteReference"/>
          <w:lang w:val="es-ES"/>
        </w:rPr>
        <w:footnoteRef/>
      </w:r>
      <w:r>
        <w:rPr>
          <w:lang w:val="es-ES"/>
        </w:rPr>
        <w:tab/>
      </w:r>
      <w:r w:rsidRPr="00DB473C">
        <w:rPr>
          <w:lang w:val="es-ES"/>
        </w:rPr>
        <w:t>Ley n.° 294/93 de impacto ambiental</w:t>
      </w:r>
      <w:r>
        <w:rPr>
          <w:lang w:val="es-ES"/>
        </w:rPr>
        <w:t>,</w:t>
      </w:r>
      <w:r w:rsidRPr="00DB473C">
        <w:rPr>
          <w:lang w:val="es-ES"/>
        </w:rPr>
        <w:t xml:space="preserve"> que establece la obligatoriedad de la evaluación de impacto ambiental en caso de explotaciones agrícolas y el cumplimiento del plan de gestión ambient</w:t>
      </w:r>
      <w:r>
        <w:rPr>
          <w:lang w:val="es-ES"/>
        </w:rPr>
        <w:t>al correspondiente, y e</w:t>
      </w:r>
      <w:r w:rsidRPr="00DB473C">
        <w:rPr>
          <w:lang w:val="es-ES"/>
        </w:rPr>
        <w:t xml:space="preserve">stablece la obligatoriedad de contar con una licencia ambiental. </w:t>
      </w:r>
      <w:r>
        <w:rPr>
          <w:lang w:val="es-ES"/>
        </w:rPr>
        <w:t>Asimismo, Ley n.° 716/96 d</w:t>
      </w:r>
      <w:r w:rsidRPr="00DB473C">
        <w:rPr>
          <w:lang w:val="es-ES"/>
        </w:rPr>
        <w:t xml:space="preserve">e Delitos contra el Medio Ambiente, </w:t>
      </w:r>
      <w:r>
        <w:rPr>
          <w:lang w:val="es-ES"/>
        </w:rPr>
        <w:t xml:space="preserve">que </w:t>
      </w:r>
      <w:r w:rsidRPr="00DB473C">
        <w:rPr>
          <w:lang w:val="es-ES"/>
        </w:rPr>
        <w:t>declara punible la elusión de las obligaciones legales referentes a las medidas de mitigación de impacto ambiental.</w:t>
      </w:r>
    </w:p>
  </w:footnote>
  <w:footnote w:id="7">
    <w:p w:rsidR="00AA5957" w:rsidRPr="001528E3" w:rsidRDefault="00AA5957" w:rsidP="002B77DB">
      <w:pPr>
        <w:pStyle w:val="FootnoteText"/>
        <w:jc w:val="both"/>
        <w:rPr>
          <w:lang w:val="es-ES"/>
        </w:rPr>
      </w:pPr>
      <w:r>
        <w:rPr>
          <w:lang w:val="es-ES"/>
        </w:rPr>
        <w:tab/>
      </w:r>
      <w:r w:rsidRPr="001528E3">
        <w:rPr>
          <w:rStyle w:val="FootnoteReference"/>
          <w:lang w:val="es-ES"/>
        </w:rPr>
        <w:footnoteRef/>
      </w:r>
      <w:r>
        <w:rPr>
          <w:lang w:val="es-ES"/>
        </w:rPr>
        <w:tab/>
      </w:r>
      <w:r w:rsidRPr="002B77DB">
        <w:rPr>
          <w:lang w:val="es-ES"/>
        </w:rPr>
        <w:t xml:space="preserve">Ley n.° 3.742/2009 de control de productos Fitosanitarios de uso agrícola; </w:t>
      </w:r>
      <w:r>
        <w:rPr>
          <w:lang w:val="es-ES"/>
        </w:rPr>
        <w:t>y Ley n.° 123/91 que adopta</w:t>
      </w:r>
      <w:r w:rsidRPr="002B77DB">
        <w:rPr>
          <w:lang w:val="es-ES"/>
        </w:rPr>
        <w:t xml:space="preserve"> nuevas norm</w:t>
      </w:r>
      <w:r>
        <w:rPr>
          <w:lang w:val="es-ES"/>
        </w:rPr>
        <w:t>as de protección fitosanitarias.</w:t>
      </w:r>
    </w:p>
  </w:footnote>
  <w:footnote w:id="8">
    <w:p w:rsidR="00AA5957" w:rsidRPr="004B4A08" w:rsidRDefault="00AA5957" w:rsidP="004B4A08">
      <w:pPr>
        <w:pStyle w:val="FootnoteText"/>
        <w:jc w:val="both"/>
        <w:rPr>
          <w:lang w:val="es-ES"/>
        </w:rPr>
      </w:pPr>
      <w:r>
        <w:rPr>
          <w:lang w:val="es-ES"/>
        </w:rPr>
        <w:tab/>
      </w:r>
      <w:r>
        <w:rPr>
          <w:rStyle w:val="FootnoteReference"/>
        </w:rPr>
        <w:footnoteRef/>
      </w:r>
      <w:r>
        <w:rPr>
          <w:lang w:val="es-ES"/>
        </w:rPr>
        <w:tab/>
      </w:r>
      <w:r w:rsidR="00FE2360">
        <w:rPr>
          <w:lang w:val="es-ES"/>
        </w:rPr>
        <w:t>P</w:t>
      </w:r>
      <w:r>
        <w:rPr>
          <w:lang w:val="es-ES"/>
        </w:rPr>
        <w:t xml:space="preserve">ara </w:t>
      </w:r>
      <w:r w:rsidRPr="004B4A08">
        <w:rPr>
          <w:lang w:val="es-ES"/>
        </w:rPr>
        <w:t xml:space="preserve">trasladarse </w:t>
      </w:r>
      <w:r>
        <w:rPr>
          <w:lang w:val="es-ES"/>
        </w:rPr>
        <w:t xml:space="preserve">hasta el hospital de Curuguaty, </w:t>
      </w:r>
      <w:r w:rsidR="00FE2360">
        <w:rPr>
          <w:lang w:val="es-ES"/>
        </w:rPr>
        <w:t xml:space="preserve">los habitantes </w:t>
      </w:r>
      <w:r w:rsidRPr="004B4A08">
        <w:rPr>
          <w:lang w:val="es-ES"/>
        </w:rPr>
        <w:t>dependen de la voluntad de vecinos con vehículos</w:t>
      </w:r>
      <w:r>
        <w:rPr>
          <w:lang w:val="es-ES"/>
        </w:rPr>
        <w:t xml:space="preserve"> que acepten hacer el viaje ya que el </w:t>
      </w:r>
      <w:r w:rsidRPr="004D72E6">
        <w:rPr>
          <w:lang w:val="es-ES"/>
        </w:rPr>
        <w:t>puesto de salud de la Colonia</w:t>
      </w:r>
      <w:r>
        <w:rPr>
          <w:lang w:val="es-ES"/>
        </w:rPr>
        <w:t xml:space="preserve"> no cuenta con ambulancia y que no hay transporte público.</w:t>
      </w:r>
    </w:p>
  </w:footnote>
  <w:footnote w:id="9">
    <w:p w:rsidR="00AA5957" w:rsidRPr="006D5DA3" w:rsidRDefault="00AA5957" w:rsidP="006D5DA3">
      <w:pPr>
        <w:pStyle w:val="FootnoteText"/>
        <w:jc w:val="both"/>
        <w:rPr>
          <w:lang w:val="es-ES"/>
        </w:rPr>
      </w:pPr>
      <w:r>
        <w:rPr>
          <w:lang w:val="es-ES"/>
        </w:rPr>
        <w:tab/>
      </w:r>
      <w:r w:rsidRPr="006D5DA3">
        <w:rPr>
          <w:rStyle w:val="FootnoteReference"/>
          <w:lang w:val="es-ES"/>
        </w:rPr>
        <w:footnoteRef/>
      </w:r>
      <w:r>
        <w:rPr>
          <w:lang w:val="es-ES"/>
        </w:rPr>
        <w:tab/>
      </w:r>
      <w:proofErr w:type="spellStart"/>
      <w:r>
        <w:rPr>
          <w:lang w:val="es-ES"/>
        </w:rPr>
        <w:t>Aldrín</w:t>
      </w:r>
      <w:proofErr w:type="spellEnd"/>
      <w:r w:rsidRPr="006D5DA3">
        <w:rPr>
          <w:lang w:val="es-ES"/>
        </w:rPr>
        <w:t xml:space="preserve"> y </w:t>
      </w:r>
      <w:proofErr w:type="spellStart"/>
      <w:r w:rsidRPr="006D5DA3">
        <w:rPr>
          <w:lang w:val="es-ES"/>
        </w:rPr>
        <w:t>Linda</w:t>
      </w:r>
      <w:r>
        <w:rPr>
          <w:lang w:val="es-ES"/>
        </w:rPr>
        <w:t>no</w:t>
      </w:r>
      <w:proofErr w:type="spellEnd"/>
      <w:r w:rsidRPr="006D5DA3">
        <w:rPr>
          <w:lang w:val="es-ES"/>
        </w:rPr>
        <w:t xml:space="preserve"> </w:t>
      </w:r>
      <w:r>
        <w:rPr>
          <w:lang w:val="es-ES"/>
        </w:rPr>
        <w:t>(</w:t>
      </w:r>
      <w:r w:rsidRPr="006D5DA3">
        <w:rPr>
          <w:lang w:val="es-ES"/>
        </w:rPr>
        <w:t xml:space="preserve">plaguicida </w:t>
      </w:r>
      <w:r>
        <w:rPr>
          <w:lang w:val="es-ES"/>
        </w:rPr>
        <w:t xml:space="preserve">e </w:t>
      </w:r>
      <w:r w:rsidRPr="006D5DA3">
        <w:rPr>
          <w:lang w:val="es-ES"/>
        </w:rPr>
        <w:t>insecticida</w:t>
      </w:r>
      <w:r>
        <w:rPr>
          <w:lang w:val="es-ES"/>
        </w:rPr>
        <w:t xml:space="preserve"> </w:t>
      </w:r>
      <w:r w:rsidRPr="006D5DA3">
        <w:rPr>
          <w:lang w:val="es-ES"/>
        </w:rPr>
        <w:t>prohibido</w:t>
      </w:r>
      <w:r>
        <w:rPr>
          <w:lang w:val="es-ES"/>
        </w:rPr>
        <w:t>s</w:t>
      </w:r>
      <w:r w:rsidRPr="006D5DA3">
        <w:rPr>
          <w:lang w:val="es-ES"/>
        </w:rPr>
        <w:t xml:space="preserve"> en todas sus formulaciones y usos desde el 24 de mayo de 1993</w:t>
      </w:r>
      <w:r>
        <w:rPr>
          <w:lang w:val="es-ES"/>
        </w:rPr>
        <w:t>,</w:t>
      </w:r>
      <w:r w:rsidRPr="006D5DA3">
        <w:rPr>
          <w:lang w:val="es-ES"/>
        </w:rPr>
        <w:t xml:space="preserve"> por ser altamente tóxico para el </w:t>
      </w:r>
      <w:r>
        <w:rPr>
          <w:lang w:val="es-ES"/>
        </w:rPr>
        <w:t>ser humano y el medio ambiente)</w:t>
      </w:r>
      <w:r w:rsidR="00D75614">
        <w:rPr>
          <w:lang w:val="es-ES"/>
        </w:rPr>
        <w:t>,</w:t>
      </w:r>
      <w:r>
        <w:rPr>
          <w:lang w:val="es-ES"/>
        </w:rPr>
        <w:t xml:space="preserve"> </w:t>
      </w:r>
      <w:r w:rsidR="00D75614">
        <w:rPr>
          <w:lang w:val="es-ES"/>
        </w:rPr>
        <w:t>y</w:t>
      </w:r>
      <w:r>
        <w:rPr>
          <w:lang w:val="es-ES"/>
        </w:rPr>
        <w:t xml:space="preserve"> </w:t>
      </w:r>
      <w:proofErr w:type="spellStart"/>
      <w:r>
        <w:rPr>
          <w:lang w:val="es-ES"/>
        </w:rPr>
        <w:t>Endosulfán</w:t>
      </w:r>
      <w:proofErr w:type="spellEnd"/>
      <w:r w:rsidRPr="006D5DA3">
        <w:rPr>
          <w:lang w:val="es-ES"/>
        </w:rPr>
        <w:t xml:space="preserve"> </w:t>
      </w:r>
      <w:r>
        <w:rPr>
          <w:lang w:val="es-ES"/>
        </w:rPr>
        <w:t>(insecticida cuya</w:t>
      </w:r>
      <w:r w:rsidRPr="006D5DA3">
        <w:rPr>
          <w:lang w:val="es-ES"/>
        </w:rPr>
        <w:t xml:space="preserve"> prohibición global </w:t>
      </w:r>
      <w:r>
        <w:rPr>
          <w:lang w:val="es-ES"/>
        </w:rPr>
        <w:t xml:space="preserve">fue solicitada </w:t>
      </w:r>
      <w:r w:rsidRPr="006D5DA3">
        <w:rPr>
          <w:lang w:val="es-ES"/>
        </w:rPr>
        <w:t xml:space="preserve">en el 2008 </w:t>
      </w:r>
      <w:r>
        <w:rPr>
          <w:lang w:val="es-ES"/>
        </w:rPr>
        <w:t xml:space="preserve">por </w:t>
      </w:r>
      <w:r w:rsidRPr="006D5DA3">
        <w:rPr>
          <w:lang w:val="es-ES"/>
        </w:rPr>
        <w:t xml:space="preserve">el </w:t>
      </w:r>
      <w:proofErr w:type="spellStart"/>
      <w:r w:rsidRPr="00F22696">
        <w:rPr>
          <w:i/>
          <w:lang w:val="es-ES"/>
        </w:rPr>
        <w:t>Review</w:t>
      </w:r>
      <w:proofErr w:type="spellEnd"/>
      <w:r w:rsidRPr="00F22696">
        <w:rPr>
          <w:i/>
          <w:lang w:val="es-ES"/>
        </w:rPr>
        <w:t xml:space="preserve"> Committee</w:t>
      </w:r>
      <w:r>
        <w:rPr>
          <w:lang w:val="es-ES"/>
        </w:rPr>
        <w:t xml:space="preserve"> del Convenio de Estocolmo, y para el cual, en</w:t>
      </w:r>
      <w:r w:rsidRPr="006D5DA3">
        <w:rPr>
          <w:lang w:val="es-ES"/>
        </w:rPr>
        <w:t xml:space="preserve"> noviembre de 2010, el Estado</w:t>
      </w:r>
      <w:r>
        <w:rPr>
          <w:lang w:val="es-ES"/>
        </w:rPr>
        <w:t xml:space="preserve"> parte </w:t>
      </w:r>
      <w:r w:rsidRPr="006D5DA3">
        <w:rPr>
          <w:lang w:val="es-ES"/>
        </w:rPr>
        <w:t xml:space="preserve">dispuso la suspensión de registros y autorización de importación y prohibió su uso en cultivos hortícolas y frutales, </w:t>
      </w:r>
      <w:r>
        <w:rPr>
          <w:lang w:val="es-ES"/>
        </w:rPr>
        <w:t>así como</w:t>
      </w:r>
      <w:r w:rsidRPr="006D5DA3">
        <w:rPr>
          <w:lang w:val="es-ES"/>
        </w:rPr>
        <w:t xml:space="preserve"> su prohibición gradual en un plazo de dos a</w:t>
      </w:r>
      <w:r>
        <w:rPr>
          <w:lang w:val="es-ES"/>
        </w:rPr>
        <w:t>ños en los cultivos extensivos).</w:t>
      </w:r>
    </w:p>
  </w:footnote>
  <w:footnote w:id="10">
    <w:p w:rsidR="00AA5957" w:rsidRPr="00C12A52" w:rsidRDefault="00AA5957" w:rsidP="009726D4">
      <w:pPr>
        <w:pStyle w:val="FootnoteText"/>
        <w:jc w:val="both"/>
        <w:rPr>
          <w:lang w:val="es-ES"/>
        </w:rPr>
      </w:pPr>
      <w:r>
        <w:rPr>
          <w:lang w:val="es-ES"/>
        </w:rPr>
        <w:tab/>
      </w:r>
      <w:r>
        <w:rPr>
          <w:rStyle w:val="FootnoteReference"/>
        </w:rPr>
        <w:footnoteRef/>
      </w:r>
      <w:r>
        <w:rPr>
          <w:lang w:val="es-ES"/>
        </w:rPr>
        <w:tab/>
        <w:t>L</w:t>
      </w:r>
      <w:r w:rsidRPr="00C12A52">
        <w:rPr>
          <w:lang w:val="es-ES"/>
        </w:rPr>
        <w:t xml:space="preserve">as empresas Cóndor Agrícola S.A. </w:t>
      </w:r>
      <w:r w:rsidRPr="00C47CE0">
        <w:rPr>
          <w:lang w:val="es-ES"/>
        </w:rPr>
        <w:t xml:space="preserve">y/o </w:t>
      </w:r>
      <w:r w:rsidRPr="00C12A52">
        <w:rPr>
          <w:lang w:val="es-ES"/>
        </w:rPr>
        <w:t>KLM S.A,</w:t>
      </w:r>
      <w:r>
        <w:rPr>
          <w:lang w:val="es-ES"/>
        </w:rPr>
        <w:t xml:space="preserve"> y</w:t>
      </w:r>
      <w:r w:rsidRPr="00C12A52">
        <w:rPr>
          <w:lang w:val="es-ES"/>
        </w:rPr>
        <w:t xml:space="preserve"> Hermanos </w:t>
      </w:r>
      <w:proofErr w:type="spellStart"/>
      <w:r w:rsidRPr="00C12A52">
        <w:rPr>
          <w:lang w:val="es-ES"/>
        </w:rPr>
        <w:t>Galhera</w:t>
      </w:r>
      <w:proofErr w:type="spellEnd"/>
      <w:r w:rsidRPr="00C12A52">
        <w:rPr>
          <w:lang w:val="es-ES"/>
        </w:rPr>
        <w:t xml:space="preserve"> </w:t>
      </w:r>
      <w:proofErr w:type="spellStart"/>
      <w:r w:rsidRPr="00C12A52">
        <w:rPr>
          <w:lang w:val="es-ES"/>
        </w:rPr>
        <w:t>Agrovalle</w:t>
      </w:r>
      <w:proofErr w:type="spellEnd"/>
      <w:r w:rsidRPr="00C12A52">
        <w:rPr>
          <w:lang w:val="es-ES"/>
        </w:rPr>
        <w:t xml:space="preserve"> de</w:t>
      </w:r>
      <w:r>
        <w:rPr>
          <w:lang w:val="es-ES"/>
        </w:rPr>
        <w:t xml:space="preserve">l Sol S.A. y/o </w:t>
      </w:r>
      <w:proofErr w:type="spellStart"/>
      <w:r>
        <w:rPr>
          <w:lang w:val="es-ES"/>
        </w:rPr>
        <w:t>Emmerson</w:t>
      </w:r>
      <w:proofErr w:type="spellEnd"/>
      <w:r>
        <w:rPr>
          <w:lang w:val="es-ES"/>
        </w:rPr>
        <w:t xml:space="preserve"> </w:t>
      </w:r>
      <w:proofErr w:type="spellStart"/>
      <w:r>
        <w:rPr>
          <w:lang w:val="es-ES"/>
        </w:rPr>
        <w:t>Shimmin</w:t>
      </w:r>
      <w:proofErr w:type="spellEnd"/>
      <w:r>
        <w:rPr>
          <w:lang w:val="es-ES"/>
        </w:rPr>
        <w:t>.</w:t>
      </w:r>
    </w:p>
  </w:footnote>
  <w:footnote w:id="11">
    <w:p w:rsidR="00AA5957" w:rsidRPr="00804D00" w:rsidRDefault="00AA5957" w:rsidP="009726D4">
      <w:pPr>
        <w:pStyle w:val="FootnoteText"/>
        <w:rPr>
          <w:lang w:val="es-ES"/>
        </w:rPr>
      </w:pPr>
      <w:r w:rsidRPr="00F803E2">
        <w:rPr>
          <w:lang w:val="es-ES"/>
        </w:rPr>
        <w:tab/>
      </w:r>
      <w:r>
        <w:rPr>
          <w:rStyle w:val="FootnoteReference"/>
        </w:rPr>
        <w:footnoteRef/>
      </w:r>
      <w:r w:rsidRPr="00804D00">
        <w:rPr>
          <w:lang w:val="es-ES"/>
        </w:rPr>
        <w:tab/>
      </w:r>
      <w:r>
        <w:rPr>
          <w:lang w:val="es-ES"/>
        </w:rPr>
        <w:t>Informe de la</w:t>
      </w:r>
      <w:r w:rsidRPr="00804D00">
        <w:rPr>
          <w:lang w:val="es-ES"/>
        </w:rPr>
        <w:t xml:space="preserve"> SEAM</w:t>
      </w:r>
      <w:r>
        <w:rPr>
          <w:lang w:val="es-ES"/>
        </w:rPr>
        <w:t>, de 24 de enero de 2011.</w:t>
      </w:r>
    </w:p>
  </w:footnote>
  <w:footnote w:id="12">
    <w:p w:rsidR="00AA5957" w:rsidRPr="000E4C37" w:rsidRDefault="00AA5957" w:rsidP="004151D9">
      <w:pPr>
        <w:pStyle w:val="FootnoteText"/>
        <w:jc w:val="both"/>
        <w:rPr>
          <w:lang w:val="es-ES"/>
        </w:rPr>
      </w:pPr>
      <w:r>
        <w:rPr>
          <w:lang w:val="es-ES"/>
        </w:rPr>
        <w:tab/>
      </w:r>
      <w:r>
        <w:rPr>
          <w:rStyle w:val="FootnoteReference"/>
        </w:rPr>
        <w:footnoteRef/>
      </w:r>
      <w:r>
        <w:rPr>
          <w:lang w:val="es-ES"/>
        </w:rPr>
        <w:tab/>
      </w:r>
      <w:r w:rsidRPr="000E4C37">
        <w:rPr>
          <w:lang w:val="es-ES"/>
        </w:rPr>
        <w:t>El fiscal la solicitó al Juzgado Penal los 15 de enero de 2011, 14 de febrero de 2011 y 18 de mayo de 2011</w:t>
      </w:r>
      <w:r>
        <w:rPr>
          <w:lang w:val="es-ES"/>
        </w:rPr>
        <w:t xml:space="preserve">. </w:t>
      </w:r>
      <w:r w:rsidR="003C71DF">
        <w:rPr>
          <w:lang w:val="es-ES"/>
        </w:rPr>
        <w:t>S</w:t>
      </w:r>
      <w:r>
        <w:rPr>
          <w:lang w:val="es-ES"/>
        </w:rPr>
        <w:t>e</w:t>
      </w:r>
      <w:r w:rsidRPr="003F6F91">
        <w:rPr>
          <w:lang w:val="es-ES"/>
        </w:rPr>
        <w:t xml:space="preserve"> solicit</w:t>
      </w:r>
      <w:r>
        <w:rPr>
          <w:lang w:val="es-ES"/>
        </w:rPr>
        <w:t>ó</w:t>
      </w:r>
      <w:r w:rsidRPr="003F6F91">
        <w:rPr>
          <w:lang w:val="es-ES"/>
        </w:rPr>
        <w:t xml:space="preserve"> por cuarta vez </w:t>
      </w:r>
      <w:r>
        <w:rPr>
          <w:lang w:val="es-ES"/>
        </w:rPr>
        <w:t>el 3</w:t>
      </w:r>
      <w:r w:rsidRPr="003F6F91">
        <w:rPr>
          <w:lang w:val="es-ES"/>
        </w:rPr>
        <w:t xml:space="preserve">1 de </w:t>
      </w:r>
      <w:r>
        <w:rPr>
          <w:lang w:val="es-ES"/>
        </w:rPr>
        <w:t>julio</w:t>
      </w:r>
      <w:r w:rsidRPr="003F6F91">
        <w:rPr>
          <w:lang w:val="es-ES"/>
        </w:rPr>
        <w:t xml:space="preserve"> de 2013</w:t>
      </w:r>
      <w:r>
        <w:rPr>
          <w:lang w:val="es-ES"/>
        </w:rPr>
        <w:t xml:space="preserve"> por</w:t>
      </w:r>
      <w:r w:rsidRPr="003F6F91">
        <w:rPr>
          <w:lang w:val="es-ES"/>
        </w:rPr>
        <w:t xml:space="preserve"> la Fiscalía General del Estado</w:t>
      </w:r>
      <w:r>
        <w:rPr>
          <w:lang w:val="es-ES"/>
        </w:rPr>
        <w:t>.</w:t>
      </w:r>
    </w:p>
  </w:footnote>
  <w:footnote w:id="13">
    <w:p w:rsidR="00AA5957" w:rsidRPr="003D0C34" w:rsidRDefault="00AA5957">
      <w:pPr>
        <w:pStyle w:val="FootnoteText"/>
        <w:rPr>
          <w:lang w:val="es-ES"/>
        </w:rPr>
      </w:pPr>
      <w:r>
        <w:rPr>
          <w:lang w:val="es-ES"/>
        </w:rPr>
        <w:tab/>
      </w:r>
      <w:r w:rsidRPr="003D0C34">
        <w:rPr>
          <w:rStyle w:val="FootnoteReference"/>
          <w:lang w:val="es-ES"/>
        </w:rPr>
        <w:footnoteRef/>
      </w:r>
      <w:r>
        <w:rPr>
          <w:lang w:val="es-ES"/>
        </w:rPr>
        <w:tab/>
      </w:r>
      <w:r w:rsidRPr="003D0C34">
        <w:rPr>
          <w:lang w:val="es-ES"/>
        </w:rPr>
        <w:t xml:space="preserve">Expediente </w:t>
      </w:r>
      <w:r>
        <w:rPr>
          <w:lang w:val="es-ES"/>
        </w:rPr>
        <w:t>n</w:t>
      </w:r>
      <w:r w:rsidRPr="003D0C34">
        <w:rPr>
          <w:lang w:val="es-ES"/>
        </w:rPr>
        <w:t>.</w:t>
      </w:r>
      <w:r>
        <w:rPr>
          <w:lang w:val="es-ES"/>
        </w:rPr>
        <w:t>°</w:t>
      </w:r>
      <w:r w:rsidRPr="003D0C34">
        <w:rPr>
          <w:lang w:val="es-ES"/>
        </w:rPr>
        <w:t xml:space="preserve"> 17-3-1-2011-74</w:t>
      </w:r>
      <w:r>
        <w:rPr>
          <w:lang w:val="es-ES"/>
        </w:rPr>
        <w:t>.</w:t>
      </w:r>
    </w:p>
  </w:footnote>
  <w:footnote w:id="14">
    <w:p w:rsidR="00A51957" w:rsidRPr="00A51957" w:rsidRDefault="00A51957" w:rsidP="00A51957">
      <w:pPr>
        <w:pStyle w:val="FootnoteText"/>
        <w:jc w:val="both"/>
        <w:rPr>
          <w:lang w:val="es-ES"/>
        </w:rPr>
      </w:pPr>
      <w:r w:rsidRPr="00E45B66">
        <w:rPr>
          <w:lang w:val="es-ES"/>
        </w:rPr>
        <w:tab/>
      </w:r>
      <w:r>
        <w:rPr>
          <w:rStyle w:val="FootnoteReference"/>
        </w:rPr>
        <w:footnoteRef/>
      </w:r>
      <w:r w:rsidRPr="00A51957">
        <w:rPr>
          <w:lang w:val="es-ES"/>
        </w:rPr>
        <w:tab/>
      </w:r>
      <w:r w:rsidR="00DC50A0">
        <w:rPr>
          <w:lang w:val="es-ES"/>
        </w:rPr>
        <w:t>L</w:t>
      </w:r>
      <w:r w:rsidRPr="00A51957">
        <w:rPr>
          <w:lang w:val="es-ES"/>
        </w:rPr>
        <w:t>a SEAM</w:t>
      </w:r>
      <w:r>
        <w:rPr>
          <w:lang w:val="es-ES"/>
        </w:rPr>
        <w:t xml:space="preserve"> indica: “reconocemos limitaciones </w:t>
      </w:r>
      <w:r w:rsidR="00DC50A0">
        <w:rPr>
          <w:lang w:val="es-ES"/>
        </w:rPr>
        <w:t xml:space="preserve">presupuestarias y humanas </w:t>
      </w:r>
      <w:r>
        <w:rPr>
          <w:lang w:val="es-ES"/>
        </w:rPr>
        <w:t>para ejercer control […] coincidimos plenamente con la parte actora de la necesidad de mejorar los mecanismos de control e intervención del Estado”</w:t>
      </w:r>
      <w:r w:rsidR="005F3CA6">
        <w:rPr>
          <w:lang w:val="es-ES"/>
        </w:rPr>
        <w:t>;</w:t>
      </w:r>
      <w:r>
        <w:rPr>
          <w:lang w:val="es-ES"/>
        </w:rPr>
        <w:t xml:space="preserve"> </w:t>
      </w:r>
      <w:r w:rsidR="00717E56">
        <w:rPr>
          <w:lang w:val="es-ES"/>
        </w:rPr>
        <w:t>habla incluso de “allanamiento”</w:t>
      </w:r>
      <w:r>
        <w:rPr>
          <w:lang w:val="es-ES"/>
        </w:rPr>
        <w:t>.</w:t>
      </w:r>
    </w:p>
  </w:footnote>
  <w:footnote w:id="15">
    <w:p w:rsidR="00AA5957" w:rsidRPr="00BA4F0A" w:rsidRDefault="00AA5957" w:rsidP="00096473">
      <w:pPr>
        <w:pStyle w:val="FootnoteText"/>
        <w:jc w:val="both"/>
        <w:rPr>
          <w:lang w:val="es-ES"/>
        </w:rPr>
      </w:pPr>
      <w:r>
        <w:rPr>
          <w:lang w:val="es-ES"/>
        </w:rPr>
        <w:tab/>
      </w:r>
      <w:r>
        <w:rPr>
          <w:rStyle w:val="FootnoteReference"/>
        </w:rPr>
        <w:footnoteRef/>
      </w:r>
      <w:r>
        <w:rPr>
          <w:lang w:val="es-ES"/>
        </w:rPr>
        <w:tab/>
      </w:r>
      <w:r w:rsidRPr="00BA4F0A">
        <w:rPr>
          <w:lang w:val="es-ES"/>
        </w:rPr>
        <w:t xml:space="preserve">El artículo 566 </w:t>
      </w:r>
      <w:r>
        <w:rPr>
          <w:lang w:val="es-ES"/>
        </w:rPr>
        <w:t xml:space="preserve">del </w:t>
      </w:r>
      <w:r w:rsidRPr="00885843">
        <w:rPr>
          <w:lang w:val="es-ES"/>
        </w:rPr>
        <w:t xml:space="preserve">Código Procesal Civil </w:t>
      </w:r>
      <w:r w:rsidRPr="00BA4F0A">
        <w:rPr>
          <w:lang w:val="es-ES"/>
        </w:rPr>
        <w:t>dispone que “[s]</w:t>
      </w:r>
      <w:proofErr w:type="spellStart"/>
      <w:r>
        <w:rPr>
          <w:lang w:val="es-ES"/>
        </w:rPr>
        <w:t>erá</w:t>
      </w:r>
      <w:proofErr w:type="spellEnd"/>
      <w:r>
        <w:rPr>
          <w:lang w:val="es-ES"/>
        </w:rPr>
        <w:t xml:space="preserve"> competente para conocer de toda acción de amparo cualquier juez de primera instancia con jurisdicción en el lugar en que el acto, omisión o amenaza ilegítimo tuviese o pudiere tener efectos”.</w:t>
      </w:r>
    </w:p>
  </w:footnote>
  <w:footnote w:id="16">
    <w:p w:rsidR="00AA5957" w:rsidRPr="00361BB6" w:rsidRDefault="00AA5957" w:rsidP="00510C85">
      <w:pPr>
        <w:pStyle w:val="FootnoteText"/>
        <w:jc w:val="both"/>
        <w:rPr>
          <w:lang w:val="es-ES"/>
        </w:rPr>
      </w:pPr>
      <w:r>
        <w:rPr>
          <w:lang w:val="es-ES"/>
        </w:rPr>
        <w:tab/>
      </w:r>
      <w:r>
        <w:rPr>
          <w:rStyle w:val="FootnoteReference"/>
        </w:rPr>
        <w:footnoteRef/>
      </w:r>
      <w:r>
        <w:rPr>
          <w:lang w:val="es-ES"/>
        </w:rPr>
        <w:tab/>
      </w:r>
      <w:r w:rsidRPr="00361BB6">
        <w:rPr>
          <w:lang w:val="es-ES"/>
        </w:rPr>
        <w:t>E/C.12/PRY/CO/3, 28 de noviembre de 2007</w:t>
      </w:r>
      <w:r>
        <w:rPr>
          <w:lang w:val="es-ES"/>
        </w:rPr>
        <w:t>, párr.</w:t>
      </w:r>
      <w:r w:rsidRPr="00E62CDA">
        <w:rPr>
          <w:lang w:val="es-ES"/>
        </w:rPr>
        <w:t xml:space="preserve"> </w:t>
      </w:r>
      <w:r>
        <w:rPr>
          <w:lang w:val="es-ES"/>
        </w:rPr>
        <w:t xml:space="preserve">16 y 27. </w:t>
      </w:r>
    </w:p>
  </w:footnote>
  <w:footnote w:id="17">
    <w:p w:rsidR="00AA5957" w:rsidRPr="00714A1A" w:rsidRDefault="00AA5957" w:rsidP="00510C85">
      <w:pPr>
        <w:pStyle w:val="FootnoteText"/>
        <w:jc w:val="both"/>
        <w:rPr>
          <w:lang w:val="es-ES"/>
        </w:rPr>
      </w:pPr>
      <w:r>
        <w:rPr>
          <w:lang w:val="es-ES"/>
        </w:rPr>
        <w:tab/>
      </w:r>
      <w:r>
        <w:rPr>
          <w:rStyle w:val="FootnoteReference"/>
        </w:rPr>
        <w:footnoteRef/>
      </w:r>
      <w:r>
        <w:rPr>
          <w:lang w:val="es-ES"/>
        </w:rPr>
        <w:tab/>
      </w:r>
      <w:r w:rsidRPr="00714A1A">
        <w:rPr>
          <w:lang w:val="es-ES"/>
        </w:rPr>
        <w:t>CEDAW/C/PRY/CO/6</w:t>
      </w:r>
      <w:r>
        <w:rPr>
          <w:lang w:val="es-ES"/>
        </w:rPr>
        <w:t>, 8 de noviembre de 2011, párr.</w:t>
      </w:r>
      <w:r w:rsidRPr="00E62CDA">
        <w:rPr>
          <w:lang w:val="es-ES"/>
        </w:rPr>
        <w:t xml:space="preserve"> </w:t>
      </w:r>
      <w:r>
        <w:rPr>
          <w:lang w:val="es-ES"/>
        </w:rPr>
        <w:t>32 y 33.</w:t>
      </w:r>
    </w:p>
  </w:footnote>
  <w:footnote w:id="18">
    <w:p w:rsidR="00AA5957" w:rsidRPr="009915A2" w:rsidRDefault="00AA5957" w:rsidP="009915A2">
      <w:pPr>
        <w:pStyle w:val="FootnoteText"/>
        <w:jc w:val="both"/>
        <w:rPr>
          <w:lang w:val="es-ES"/>
        </w:rPr>
      </w:pPr>
      <w:r w:rsidRPr="009915A2">
        <w:rPr>
          <w:lang w:val="es-ES"/>
        </w:rPr>
        <w:tab/>
      </w:r>
      <w:r w:rsidRPr="009915A2">
        <w:rPr>
          <w:rStyle w:val="FootnoteReference"/>
          <w:lang w:val="es-ES"/>
        </w:rPr>
        <w:footnoteRef/>
      </w:r>
      <w:r w:rsidRPr="009915A2">
        <w:rPr>
          <w:lang w:val="es-ES"/>
        </w:rPr>
        <w:tab/>
        <w:t xml:space="preserve">CRC/C/PRY/CO/3, 10 de febrero de 2010, </w:t>
      </w:r>
      <w:r>
        <w:rPr>
          <w:lang w:val="es-ES"/>
        </w:rPr>
        <w:t>párr.</w:t>
      </w:r>
      <w:r w:rsidRPr="00E62CDA">
        <w:rPr>
          <w:lang w:val="es-ES"/>
        </w:rPr>
        <w:t xml:space="preserve"> </w:t>
      </w:r>
      <w:r w:rsidRPr="009915A2">
        <w:rPr>
          <w:lang w:val="es-ES"/>
        </w:rPr>
        <w:t>51.</w:t>
      </w:r>
    </w:p>
  </w:footnote>
  <w:footnote w:id="19">
    <w:p w:rsidR="00AA5957" w:rsidRPr="00DF018B" w:rsidRDefault="00AA5957" w:rsidP="00510C85">
      <w:pPr>
        <w:pStyle w:val="FootnoteText"/>
        <w:jc w:val="both"/>
        <w:rPr>
          <w:lang w:val="es-ES"/>
        </w:rPr>
      </w:pPr>
      <w:r>
        <w:rPr>
          <w:lang w:val="es-ES"/>
        </w:rPr>
        <w:tab/>
      </w:r>
      <w:r>
        <w:rPr>
          <w:rStyle w:val="FootnoteReference"/>
        </w:rPr>
        <w:footnoteRef/>
      </w:r>
      <w:r>
        <w:rPr>
          <w:lang w:val="es-ES"/>
        </w:rPr>
        <w:tab/>
      </w:r>
      <w:r w:rsidRPr="00DF018B">
        <w:rPr>
          <w:lang w:val="es-ES"/>
        </w:rPr>
        <w:t>A/HRC/20/25/Add.2</w:t>
      </w:r>
      <w:r>
        <w:rPr>
          <w:lang w:val="es-ES"/>
        </w:rPr>
        <w:t xml:space="preserve">, </w:t>
      </w:r>
      <w:r w:rsidRPr="00DF018B">
        <w:rPr>
          <w:lang w:val="es-ES"/>
        </w:rPr>
        <w:t>3 de abril de 2012</w:t>
      </w:r>
      <w:r>
        <w:rPr>
          <w:lang w:val="es-ES"/>
        </w:rPr>
        <w:t>, párr.</w:t>
      </w:r>
      <w:r w:rsidRPr="00E62CDA">
        <w:rPr>
          <w:lang w:val="es-ES"/>
        </w:rPr>
        <w:t xml:space="preserve"> </w:t>
      </w:r>
      <w:r>
        <w:rPr>
          <w:lang w:val="es-ES"/>
        </w:rPr>
        <w:t>47 y 48.</w:t>
      </w:r>
    </w:p>
  </w:footnote>
  <w:footnote w:id="20">
    <w:p w:rsidR="00AA5957" w:rsidRPr="00A76280" w:rsidRDefault="00AA5957">
      <w:pPr>
        <w:pStyle w:val="FootnoteText"/>
        <w:rPr>
          <w:lang w:val="es-ES"/>
        </w:rPr>
      </w:pPr>
      <w:r w:rsidRPr="00A76280">
        <w:rPr>
          <w:lang w:val="es-ES"/>
        </w:rPr>
        <w:tab/>
      </w:r>
      <w:r>
        <w:rPr>
          <w:rStyle w:val="FootnoteReference"/>
        </w:rPr>
        <w:footnoteRef/>
      </w:r>
      <w:r w:rsidRPr="00A76280">
        <w:rPr>
          <w:lang w:val="es-ES"/>
        </w:rPr>
        <w:tab/>
      </w:r>
      <w:r>
        <w:rPr>
          <w:lang w:val="es-ES"/>
        </w:rPr>
        <w:t xml:space="preserve">Por ejemplo, </w:t>
      </w:r>
      <w:r w:rsidRPr="00A76280">
        <w:rPr>
          <w:i/>
          <w:lang w:val="es-ES"/>
        </w:rPr>
        <w:t xml:space="preserve">Vicente y otros </w:t>
      </w:r>
      <w:r w:rsidR="00BD7E9B">
        <w:rPr>
          <w:i/>
          <w:lang w:val="es-ES"/>
        </w:rPr>
        <w:t>c</w:t>
      </w:r>
      <w:r w:rsidRPr="00A76280">
        <w:rPr>
          <w:i/>
          <w:lang w:val="es-ES"/>
        </w:rPr>
        <w:t>. Colombia</w:t>
      </w:r>
      <w:r w:rsidRPr="00A76280">
        <w:rPr>
          <w:lang w:val="es-ES"/>
        </w:rPr>
        <w:t xml:space="preserve"> </w:t>
      </w:r>
      <w:r>
        <w:rPr>
          <w:lang w:val="es-ES"/>
        </w:rPr>
        <w:t>(</w:t>
      </w:r>
      <w:r w:rsidRPr="009D282E">
        <w:rPr>
          <w:lang w:val="es-ES"/>
        </w:rPr>
        <w:t>CCPR/C/60/D/612/1995</w:t>
      </w:r>
      <w:r>
        <w:rPr>
          <w:lang w:val="es-ES"/>
        </w:rPr>
        <w:t>) de 29 de julio de 1997</w:t>
      </w:r>
      <w:r w:rsidRPr="00A76280">
        <w:rPr>
          <w:lang w:val="es-ES"/>
        </w:rPr>
        <w:t>.</w:t>
      </w:r>
    </w:p>
  </w:footnote>
  <w:footnote w:id="21">
    <w:p w:rsidR="00AA5957" w:rsidRPr="00A76280" w:rsidRDefault="00AA5957">
      <w:pPr>
        <w:pStyle w:val="FootnoteText"/>
        <w:rPr>
          <w:lang w:val="es-ES"/>
        </w:rPr>
      </w:pPr>
      <w:r w:rsidRPr="00A76280">
        <w:rPr>
          <w:lang w:val="es-ES"/>
        </w:rPr>
        <w:tab/>
      </w:r>
      <w:r>
        <w:rPr>
          <w:rStyle w:val="FootnoteReference"/>
        </w:rPr>
        <w:footnoteRef/>
      </w:r>
      <w:r w:rsidRPr="00A76280">
        <w:rPr>
          <w:lang w:val="es-ES"/>
        </w:rPr>
        <w:tab/>
      </w:r>
      <w:r w:rsidRPr="00A76280">
        <w:rPr>
          <w:i/>
          <w:lang w:val="es-ES"/>
        </w:rPr>
        <w:t xml:space="preserve">Blanco Domínguez </w:t>
      </w:r>
      <w:r w:rsidR="00BD7E9B">
        <w:rPr>
          <w:i/>
          <w:lang w:val="es-ES"/>
        </w:rPr>
        <w:t>c</w:t>
      </w:r>
      <w:r w:rsidRPr="00A76280">
        <w:rPr>
          <w:i/>
          <w:lang w:val="es-ES"/>
        </w:rPr>
        <w:t>. Paraguay</w:t>
      </w:r>
      <w:r w:rsidRPr="00A76280">
        <w:rPr>
          <w:lang w:val="es-ES"/>
        </w:rPr>
        <w:t xml:space="preserve"> </w:t>
      </w:r>
      <w:r>
        <w:rPr>
          <w:lang w:val="es-ES"/>
        </w:rPr>
        <w:t>(</w:t>
      </w:r>
      <w:r w:rsidRPr="009D282E">
        <w:rPr>
          <w:lang w:val="es-ES"/>
        </w:rPr>
        <w:t>CCPR/C/104/D/1828/2008</w:t>
      </w:r>
      <w:r>
        <w:rPr>
          <w:lang w:val="es-ES"/>
        </w:rPr>
        <w:t>) de 22 de marzo de 2012</w:t>
      </w:r>
      <w:r w:rsidRPr="00A76280">
        <w:rPr>
          <w:lang w:val="es-ES"/>
        </w:rPr>
        <w:t>.</w:t>
      </w:r>
    </w:p>
  </w:footnote>
  <w:footnote w:id="22">
    <w:p w:rsidR="00AA5957" w:rsidRPr="00A76280" w:rsidRDefault="00AA5957">
      <w:pPr>
        <w:pStyle w:val="FootnoteText"/>
        <w:rPr>
          <w:lang w:val="es-ES"/>
        </w:rPr>
      </w:pPr>
      <w:r w:rsidRPr="00A76280">
        <w:rPr>
          <w:lang w:val="es-ES"/>
        </w:rPr>
        <w:tab/>
      </w:r>
      <w:r>
        <w:rPr>
          <w:rStyle w:val="FootnoteReference"/>
        </w:rPr>
        <w:footnoteRef/>
      </w:r>
      <w:r w:rsidRPr="00A76280">
        <w:rPr>
          <w:lang w:val="es-ES"/>
        </w:rPr>
        <w:tab/>
      </w:r>
      <w:proofErr w:type="spellStart"/>
      <w:r w:rsidRPr="009D282E">
        <w:rPr>
          <w:i/>
          <w:lang w:val="es-ES"/>
        </w:rPr>
        <w:t>Fillastre</w:t>
      </w:r>
      <w:proofErr w:type="spellEnd"/>
      <w:r w:rsidRPr="009D282E">
        <w:rPr>
          <w:i/>
          <w:lang w:val="es-ES"/>
        </w:rPr>
        <w:t xml:space="preserve"> y </w:t>
      </w:r>
      <w:proofErr w:type="spellStart"/>
      <w:r w:rsidRPr="009D282E">
        <w:rPr>
          <w:i/>
          <w:lang w:val="es-ES"/>
        </w:rPr>
        <w:t>Bizo</w:t>
      </w:r>
      <w:r w:rsidR="003A1EA7">
        <w:rPr>
          <w:i/>
          <w:lang w:val="es-ES"/>
        </w:rPr>
        <w:t>u</w:t>
      </w:r>
      <w:r w:rsidRPr="009D282E">
        <w:rPr>
          <w:i/>
          <w:lang w:val="es-ES"/>
        </w:rPr>
        <w:t>arn</w:t>
      </w:r>
      <w:proofErr w:type="spellEnd"/>
      <w:r w:rsidRPr="009D282E">
        <w:rPr>
          <w:i/>
          <w:lang w:val="es-ES"/>
        </w:rPr>
        <w:t xml:space="preserve"> </w:t>
      </w:r>
      <w:r w:rsidR="00BD7E9B">
        <w:rPr>
          <w:i/>
          <w:lang w:val="es-ES"/>
        </w:rPr>
        <w:t>c</w:t>
      </w:r>
      <w:r w:rsidRPr="009D282E">
        <w:rPr>
          <w:i/>
          <w:lang w:val="es-ES"/>
        </w:rPr>
        <w:t>. Bolivia</w:t>
      </w:r>
      <w:r w:rsidRPr="00A76280">
        <w:rPr>
          <w:lang w:val="es-ES"/>
        </w:rPr>
        <w:t xml:space="preserve"> </w:t>
      </w:r>
      <w:r>
        <w:rPr>
          <w:lang w:val="es-ES"/>
        </w:rPr>
        <w:t>(</w:t>
      </w:r>
      <w:r w:rsidRPr="00FA2E56">
        <w:rPr>
          <w:lang w:val="es-ES"/>
        </w:rPr>
        <w:t>CCPR/C/43/D/336/1988</w:t>
      </w:r>
      <w:r>
        <w:rPr>
          <w:lang w:val="es-ES"/>
        </w:rPr>
        <w:t>) de 5 de noviembre de 1991</w:t>
      </w:r>
      <w:r w:rsidRPr="00A76280">
        <w:rPr>
          <w:lang w:val="es-ES"/>
        </w:rPr>
        <w:t>.</w:t>
      </w:r>
    </w:p>
  </w:footnote>
  <w:footnote w:id="23">
    <w:p w:rsidR="00AA5957" w:rsidRPr="00A76280" w:rsidRDefault="00AA5957" w:rsidP="007E6B60">
      <w:pPr>
        <w:pStyle w:val="FootnoteText"/>
        <w:jc w:val="both"/>
        <w:rPr>
          <w:lang w:val="es-ES"/>
        </w:rPr>
      </w:pPr>
      <w:r w:rsidRPr="00A76280">
        <w:rPr>
          <w:lang w:val="es-ES"/>
        </w:rPr>
        <w:tab/>
      </w:r>
      <w:r>
        <w:rPr>
          <w:rStyle w:val="FootnoteReference"/>
        </w:rPr>
        <w:footnoteRef/>
      </w:r>
      <w:r w:rsidRPr="00A76280">
        <w:rPr>
          <w:lang w:val="es-ES"/>
        </w:rPr>
        <w:tab/>
      </w:r>
      <w:r>
        <w:rPr>
          <w:lang w:val="es-ES"/>
        </w:rPr>
        <w:t xml:space="preserve">Los autores mencionan el </w:t>
      </w:r>
      <w:r w:rsidRPr="00DC349C">
        <w:rPr>
          <w:lang w:val="es-ES"/>
        </w:rPr>
        <w:t xml:space="preserve">caso </w:t>
      </w:r>
      <w:r w:rsidRPr="00DC349C">
        <w:rPr>
          <w:i/>
          <w:lang w:val="es-ES"/>
        </w:rPr>
        <w:t xml:space="preserve">López Ostra </w:t>
      </w:r>
      <w:r w:rsidR="00BD7E9B">
        <w:rPr>
          <w:i/>
          <w:lang w:val="es-ES"/>
        </w:rPr>
        <w:t>c</w:t>
      </w:r>
      <w:r w:rsidRPr="00DC349C">
        <w:rPr>
          <w:i/>
          <w:lang w:val="es-ES"/>
        </w:rPr>
        <w:t>. España</w:t>
      </w:r>
      <w:r w:rsidRPr="00DC349C">
        <w:rPr>
          <w:lang w:val="es-ES"/>
        </w:rPr>
        <w:t xml:space="preserve">, de 9 de diciembre de 1994, </w:t>
      </w:r>
      <w:r>
        <w:rPr>
          <w:lang w:val="es-ES"/>
        </w:rPr>
        <w:t>párr.</w:t>
      </w:r>
      <w:r w:rsidRPr="00E62CDA">
        <w:rPr>
          <w:lang w:val="es-ES"/>
        </w:rPr>
        <w:t xml:space="preserve"> 51; </w:t>
      </w:r>
      <w:proofErr w:type="spellStart"/>
      <w:r w:rsidRPr="00E62CDA">
        <w:rPr>
          <w:i/>
          <w:lang w:val="es-ES"/>
        </w:rPr>
        <w:t>Fadeyeva</w:t>
      </w:r>
      <w:proofErr w:type="spellEnd"/>
      <w:r w:rsidRPr="00E62CDA">
        <w:rPr>
          <w:i/>
          <w:lang w:val="es-ES"/>
        </w:rPr>
        <w:t xml:space="preserve"> </w:t>
      </w:r>
      <w:r w:rsidR="00BD7E9B">
        <w:rPr>
          <w:i/>
          <w:lang w:val="es-ES"/>
        </w:rPr>
        <w:t>c</w:t>
      </w:r>
      <w:r w:rsidRPr="00E62CDA">
        <w:rPr>
          <w:i/>
          <w:lang w:val="es-ES"/>
        </w:rPr>
        <w:t>. Rusia</w:t>
      </w:r>
      <w:r w:rsidRPr="00E62CDA">
        <w:rPr>
          <w:lang w:val="es-ES"/>
        </w:rPr>
        <w:t xml:space="preserve">, de 30 de noviembre de 2005, </w:t>
      </w:r>
      <w:r>
        <w:rPr>
          <w:lang w:val="es-ES"/>
        </w:rPr>
        <w:t>párr.</w:t>
      </w:r>
      <w:r w:rsidRPr="00E62CDA">
        <w:rPr>
          <w:lang w:val="es-ES"/>
        </w:rPr>
        <w:t xml:space="preserve"> 68 y 69</w:t>
      </w:r>
      <w:r w:rsidRPr="001A27B2">
        <w:rPr>
          <w:lang w:val="es-ES"/>
        </w:rPr>
        <w:t xml:space="preserve">; y </w:t>
      </w:r>
      <w:proofErr w:type="spellStart"/>
      <w:r w:rsidRPr="001A27B2">
        <w:rPr>
          <w:i/>
          <w:lang w:val="es-ES"/>
        </w:rPr>
        <w:t>Dubetska</w:t>
      </w:r>
      <w:proofErr w:type="spellEnd"/>
      <w:r w:rsidRPr="001A27B2">
        <w:rPr>
          <w:i/>
          <w:lang w:val="es-ES"/>
        </w:rPr>
        <w:t xml:space="preserve"> y otros </w:t>
      </w:r>
      <w:r w:rsidR="00BD7E9B">
        <w:rPr>
          <w:i/>
          <w:lang w:val="es-ES"/>
        </w:rPr>
        <w:t>c</w:t>
      </w:r>
      <w:r w:rsidRPr="001A27B2">
        <w:rPr>
          <w:i/>
          <w:lang w:val="es-ES"/>
        </w:rPr>
        <w:t>. Ucrania</w:t>
      </w:r>
      <w:r w:rsidRPr="001A27B2">
        <w:rPr>
          <w:lang w:val="es-ES"/>
        </w:rPr>
        <w:t>, de 10 de febrero de 2011,</w:t>
      </w:r>
      <w:r w:rsidRPr="00991211">
        <w:rPr>
          <w:lang w:val="es-ES"/>
        </w:rPr>
        <w:t xml:space="preserve"> </w:t>
      </w:r>
      <w:r>
        <w:rPr>
          <w:lang w:val="es-ES"/>
        </w:rPr>
        <w:t>párr.</w:t>
      </w:r>
      <w:r w:rsidRPr="00E62CDA">
        <w:rPr>
          <w:lang w:val="es-ES"/>
        </w:rPr>
        <w:t xml:space="preserve"> </w:t>
      </w:r>
      <w:r w:rsidRPr="001A27B2">
        <w:rPr>
          <w:lang w:val="es-ES"/>
        </w:rPr>
        <w:t>105.</w:t>
      </w:r>
    </w:p>
  </w:footnote>
  <w:footnote w:id="24">
    <w:p w:rsidR="00AA5957" w:rsidRPr="00A76280" w:rsidRDefault="00AA5957" w:rsidP="00EF30A8">
      <w:pPr>
        <w:pStyle w:val="FootnoteText"/>
        <w:jc w:val="both"/>
        <w:rPr>
          <w:lang w:val="es-ES"/>
        </w:rPr>
      </w:pPr>
      <w:r w:rsidRPr="00A76280">
        <w:rPr>
          <w:lang w:val="es-ES"/>
        </w:rPr>
        <w:tab/>
      </w:r>
      <w:r w:rsidRPr="00937D67">
        <w:rPr>
          <w:rStyle w:val="FootnoteReference"/>
        </w:rPr>
        <w:footnoteRef/>
      </w:r>
      <w:r w:rsidRPr="00937D67">
        <w:rPr>
          <w:lang w:val="es-ES"/>
        </w:rPr>
        <w:tab/>
      </w:r>
      <w:r>
        <w:rPr>
          <w:lang w:val="es-ES"/>
        </w:rPr>
        <w:t xml:space="preserve">El Estado parte cita, como jurisprudencia relativa a la inadmisibilidad </w:t>
      </w:r>
      <w:proofErr w:type="spellStart"/>
      <w:r w:rsidRPr="00B95016">
        <w:rPr>
          <w:i/>
          <w:lang w:val="es-ES"/>
        </w:rPr>
        <w:t>ratione</w:t>
      </w:r>
      <w:proofErr w:type="spellEnd"/>
      <w:r w:rsidRPr="00B95016">
        <w:rPr>
          <w:i/>
          <w:lang w:val="es-ES"/>
        </w:rPr>
        <w:t xml:space="preserve"> </w:t>
      </w:r>
      <w:proofErr w:type="spellStart"/>
      <w:r w:rsidRPr="00B95016">
        <w:rPr>
          <w:i/>
          <w:lang w:val="es-ES"/>
        </w:rPr>
        <w:t>materiae</w:t>
      </w:r>
      <w:proofErr w:type="spellEnd"/>
      <w:r>
        <w:rPr>
          <w:lang w:val="es-ES"/>
        </w:rPr>
        <w:t xml:space="preserve">, </w:t>
      </w:r>
      <w:r w:rsidRPr="00CE2311">
        <w:rPr>
          <w:lang w:val="es-ES"/>
        </w:rPr>
        <w:t>el dictamen</w:t>
      </w:r>
      <w:r w:rsidR="00B95016" w:rsidRPr="002C03F2">
        <w:rPr>
          <w:lang w:val="es-ES"/>
        </w:rPr>
        <w:t xml:space="preserve"> </w:t>
      </w:r>
      <w:r w:rsidRPr="002C03F2">
        <w:rPr>
          <w:lang w:val="es-ES"/>
        </w:rPr>
        <w:t>del</w:t>
      </w:r>
      <w:r>
        <w:rPr>
          <w:lang w:val="es-ES"/>
        </w:rPr>
        <w:t xml:space="preserve"> Comité sobre el caso </w:t>
      </w:r>
      <w:r w:rsidRPr="00E05967">
        <w:rPr>
          <w:i/>
          <w:lang w:val="es-ES"/>
        </w:rPr>
        <w:t xml:space="preserve">K.B </w:t>
      </w:r>
      <w:r w:rsidR="00BD7E9B">
        <w:rPr>
          <w:i/>
          <w:lang w:val="es-ES"/>
        </w:rPr>
        <w:t>c</w:t>
      </w:r>
      <w:r w:rsidRPr="00E05967">
        <w:rPr>
          <w:i/>
          <w:lang w:val="es-ES"/>
        </w:rPr>
        <w:t>. Noruega</w:t>
      </w:r>
      <w:r>
        <w:rPr>
          <w:lang w:val="es-ES"/>
        </w:rPr>
        <w:t xml:space="preserve"> (</w:t>
      </w:r>
      <w:r w:rsidR="00CE2311" w:rsidRPr="00CE2311">
        <w:rPr>
          <w:lang w:val="es-ES"/>
        </w:rPr>
        <w:t>53/1979, 14 de agosto de 1979</w:t>
      </w:r>
      <w:r w:rsidR="00CE2311">
        <w:rPr>
          <w:lang w:val="es-ES"/>
        </w:rPr>
        <w:t>,</w:t>
      </w:r>
      <w:r w:rsidR="00CE2311" w:rsidRPr="00CE2311">
        <w:rPr>
          <w:lang w:val="es-ES"/>
        </w:rPr>
        <w:t xml:space="preserve"> párr. </w:t>
      </w:r>
      <w:r w:rsidR="005911B7">
        <w:rPr>
          <w:lang w:val="es-ES"/>
        </w:rPr>
        <w:t>5 y 7</w:t>
      </w:r>
      <w:r w:rsidR="00CE2311">
        <w:rPr>
          <w:lang w:val="es-ES"/>
        </w:rPr>
        <w:t>)</w:t>
      </w:r>
      <w:r>
        <w:rPr>
          <w:lang w:val="es-ES"/>
        </w:rPr>
        <w:t xml:space="preserve">, y la decisión del </w:t>
      </w:r>
      <w:r w:rsidRPr="00937D67">
        <w:rPr>
          <w:lang w:val="es-ES"/>
        </w:rPr>
        <w:t>Comité contra la Tortura</w:t>
      </w:r>
      <w:r>
        <w:rPr>
          <w:lang w:val="es-ES"/>
        </w:rPr>
        <w:t xml:space="preserve"> sobre el caso</w:t>
      </w:r>
      <w:r w:rsidRPr="00937D67">
        <w:rPr>
          <w:lang w:val="es-ES"/>
        </w:rPr>
        <w:t xml:space="preserve"> </w:t>
      </w:r>
      <w:r w:rsidRPr="00937D67">
        <w:rPr>
          <w:i/>
          <w:lang w:val="es-ES"/>
        </w:rPr>
        <w:t xml:space="preserve">Marcos </w:t>
      </w:r>
      <w:proofErr w:type="spellStart"/>
      <w:r w:rsidRPr="00937D67">
        <w:rPr>
          <w:i/>
          <w:lang w:val="es-ES"/>
        </w:rPr>
        <w:t>Roitman</w:t>
      </w:r>
      <w:proofErr w:type="spellEnd"/>
      <w:r w:rsidRPr="00937D67">
        <w:rPr>
          <w:i/>
          <w:lang w:val="es-ES"/>
        </w:rPr>
        <w:t xml:space="preserve"> </w:t>
      </w:r>
      <w:proofErr w:type="spellStart"/>
      <w:r w:rsidRPr="00937D67">
        <w:rPr>
          <w:i/>
          <w:lang w:val="es-ES"/>
        </w:rPr>
        <w:t>Rosenmann</w:t>
      </w:r>
      <w:proofErr w:type="spellEnd"/>
      <w:r w:rsidRPr="00937D67">
        <w:rPr>
          <w:i/>
          <w:lang w:val="es-ES"/>
        </w:rPr>
        <w:t xml:space="preserve"> </w:t>
      </w:r>
      <w:r w:rsidR="00BD7E9B">
        <w:rPr>
          <w:i/>
          <w:lang w:val="es-ES"/>
        </w:rPr>
        <w:t>c</w:t>
      </w:r>
      <w:r w:rsidRPr="00937D67">
        <w:rPr>
          <w:i/>
          <w:lang w:val="es-ES"/>
        </w:rPr>
        <w:t>. España</w:t>
      </w:r>
      <w:r w:rsidRPr="00937D67">
        <w:rPr>
          <w:lang w:val="es-ES"/>
        </w:rPr>
        <w:t xml:space="preserve"> (CAT/C/28/D/176/2000)</w:t>
      </w:r>
      <w:r>
        <w:rPr>
          <w:lang w:val="es-ES"/>
        </w:rPr>
        <w:t xml:space="preserve">, </w:t>
      </w:r>
      <w:r w:rsidR="00CE2311">
        <w:rPr>
          <w:lang w:val="es-ES"/>
        </w:rPr>
        <w:t>párr.</w:t>
      </w:r>
      <w:r>
        <w:rPr>
          <w:lang w:val="es-ES"/>
        </w:rPr>
        <w:t xml:space="preserve"> </w:t>
      </w:r>
      <w:r w:rsidR="005911B7">
        <w:rPr>
          <w:lang w:val="es-ES"/>
        </w:rPr>
        <w:t>6.7</w:t>
      </w:r>
      <w:r w:rsidR="00DE7918">
        <w:rPr>
          <w:lang w:val="es-ES"/>
        </w:rPr>
        <w:t>.</w:t>
      </w:r>
    </w:p>
  </w:footnote>
  <w:footnote w:id="25">
    <w:p w:rsidR="00AA5957" w:rsidRPr="00E42483" w:rsidRDefault="00AA5957" w:rsidP="00E42483">
      <w:pPr>
        <w:pStyle w:val="FootnoteText"/>
        <w:jc w:val="both"/>
        <w:rPr>
          <w:lang w:val="es-ES"/>
        </w:rPr>
      </w:pPr>
      <w:r w:rsidRPr="00E42483">
        <w:rPr>
          <w:lang w:val="es-ES"/>
        </w:rPr>
        <w:tab/>
      </w:r>
      <w:r w:rsidRPr="00E42483">
        <w:rPr>
          <w:rStyle w:val="FootnoteReference"/>
          <w:lang w:val="es-ES"/>
        </w:rPr>
        <w:footnoteRef/>
      </w:r>
      <w:r w:rsidRPr="00E42483">
        <w:rPr>
          <w:lang w:val="es-ES"/>
        </w:rPr>
        <w:tab/>
        <w:t>Por incumplimiento de disposiciones previstas en las leyes 294/93 de evaluación de impacto ambiental y 3742/09 de control de productos fitosanitarios de uso agrícola.</w:t>
      </w:r>
    </w:p>
  </w:footnote>
  <w:footnote w:id="26">
    <w:p w:rsidR="00AA5957" w:rsidRPr="005B43CE" w:rsidRDefault="00AA5957" w:rsidP="005B43CE">
      <w:pPr>
        <w:pStyle w:val="FootnoteText"/>
        <w:jc w:val="both"/>
        <w:rPr>
          <w:lang w:val="es-ES_tradnl"/>
        </w:rPr>
      </w:pPr>
      <w:r>
        <w:rPr>
          <w:lang w:val="es-ES_tradnl"/>
        </w:rPr>
        <w:tab/>
      </w:r>
      <w:r w:rsidRPr="005B43CE">
        <w:rPr>
          <w:rStyle w:val="FootnoteReference"/>
          <w:lang w:val="es-ES_tradnl"/>
        </w:rPr>
        <w:footnoteRef/>
      </w:r>
      <w:r>
        <w:rPr>
          <w:lang w:val="es-ES_tradnl"/>
        </w:rPr>
        <w:tab/>
        <w:t>E</w:t>
      </w:r>
      <w:r w:rsidRPr="001513EE">
        <w:rPr>
          <w:lang w:val="es-ES_tradnl"/>
        </w:rPr>
        <w:t>l</w:t>
      </w:r>
      <w:r>
        <w:rPr>
          <w:lang w:val="es-ES_tradnl"/>
        </w:rPr>
        <w:t xml:space="preserve"> Estado indica que el</w:t>
      </w:r>
      <w:r w:rsidRPr="001513EE">
        <w:rPr>
          <w:lang w:val="es-ES_tradnl"/>
        </w:rPr>
        <w:t xml:space="preserve"> art</w:t>
      </w:r>
      <w:r>
        <w:rPr>
          <w:lang w:val="es-ES_tradnl"/>
        </w:rPr>
        <w:t>í</w:t>
      </w:r>
      <w:r w:rsidRPr="001513EE">
        <w:rPr>
          <w:lang w:val="es-ES_tradnl"/>
        </w:rPr>
        <w:t>culo</w:t>
      </w:r>
      <w:r>
        <w:rPr>
          <w:lang w:val="es-ES_tradnl"/>
        </w:rPr>
        <w:t xml:space="preserve"> </w:t>
      </w:r>
      <w:r w:rsidRPr="001513EE">
        <w:rPr>
          <w:lang w:val="es-ES_tradnl"/>
        </w:rPr>
        <w:t xml:space="preserve">1944 </w:t>
      </w:r>
      <w:r>
        <w:rPr>
          <w:lang w:val="es-ES_tradnl"/>
        </w:rPr>
        <w:t>d</w:t>
      </w:r>
      <w:r w:rsidRPr="001513EE">
        <w:rPr>
          <w:lang w:val="es-ES_tradnl"/>
        </w:rPr>
        <w:t xml:space="preserve">el Código Civil </w:t>
      </w:r>
      <w:r>
        <w:rPr>
          <w:lang w:val="es-ES_tradnl"/>
        </w:rPr>
        <w:t>dispone que “[q]</w:t>
      </w:r>
      <w:proofErr w:type="spellStart"/>
      <w:r w:rsidRPr="005B43CE">
        <w:rPr>
          <w:lang w:val="es-ES_tradnl"/>
        </w:rPr>
        <w:t>uién</w:t>
      </w:r>
      <w:proofErr w:type="spellEnd"/>
      <w:r w:rsidRPr="005B43CE">
        <w:rPr>
          <w:lang w:val="es-ES_tradnl"/>
        </w:rPr>
        <w:t xml:space="preserve"> turbare la posesión</w:t>
      </w:r>
      <w:r>
        <w:rPr>
          <w:lang w:val="es-ES_tradnl"/>
        </w:rPr>
        <w:t xml:space="preserve"> de otro o lo privare de ella, comete un acto ilícito […]. El turbado en su posesión podrá reclamar del actor […] la cesación de los hechos, y si se temiese otros nuevos, podrá el poseedor pedir además que sean prohibidos en el futuro”.</w:t>
      </w:r>
    </w:p>
  </w:footnote>
  <w:footnote w:id="27">
    <w:p w:rsidR="00AA5957" w:rsidRPr="00B862CE" w:rsidRDefault="00AA5957">
      <w:pPr>
        <w:pStyle w:val="FootnoteText"/>
        <w:rPr>
          <w:lang w:val="es-ES"/>
        </w:rPr>
      </w:pPr>
      <w:r w:rsidRPr="00291734">
        <w:rPr>
          <w:lang w:val="es-ES"/>
        </w:rPr>
        <w:tab/>
      </w:r>
      <w:r>
        <w:rPr>
          <w:rStyle w:val="FootnoteReference"/>
        </w:rPr>
        <w:footnoteRef/>
      </w:r>
      <w:r w:rsidRPr="00B862CE">
        <w:rPr>
          <w:lang w:val="es-ES"/>
        </w:rPr>
        <w:tab/>
        <w:t xml:space="preserve">El Estado parte no adjunta documento que </w:t>
      </w:r>
      <w:r>
        <w:rPr>
          <w:lang w:val="es-ES"/>
        </w:rPr>
        <w:t>sostenga estas alegaciones</w:t>
      </w:r>
      <w:r w:rsidRPr="00B862CE">
        <w:rPr>
          <w:lang w:val="es-ES"/>
        </w:rPr>
        <w:t>.</w:t>
      </w:r>
    </w:p>
  </w:footnote>
  <w:footnote w:id="28">
    <w:p w:rsidR="00AA5957" w:rsidRPr="009141B2" w:rsidRDefault="00AA5957" w:rsidP="00116CC6">
      <w:pPr>
        <w:pStyle w:val="FootnoteText"/>
        <w:jc w:val="both"/>
        <w:rPr>
          <w:lang w:val="es-ES"/>
        </w:rPr>
      </w:pPr>
      <w:r>
        <w:rPr>
          <w:lang w:val="es-ES"/>
        </w:rPr>
        <w:tab/>
      </w:r>
      <w:r>
        <w:rPr>
          <w:rStyle w:val="FootnoteReference"/>
        </w:rPr>
        <w:footnoteRef/>
      </w:r>
      <w:r>
        <w:rPr>
          <w:lang w:val="es-ES"/>
        </w:rPr>
        <w:tab/>
      </w:r>
      <w:r>
        <w:rPr>
          <w:lang w:val="es-ES_tradnl"/>
        </w:rPr>
        <w:t>Los autores</w:t>
      </w:r>
      <w:r w:rsidRPr="002938F2">
        <w:rPr>
          <w:lang w:val="es-ES"/>
        </w:rPr>
        <w:t xml:space="preserve"> </w:t>
      </w:r>
      <w:r w:rsidRPr="002938F2">
        <w:rPr>
          <w:lang w:val="es-ES_tradnl"/>
        </w:rPr>
        <w:t xml:space="preserve">mencionan el dictamen </w:t>
      </w:r>
      <w:proofErr w:type="spellStart"/>
      <w:r w:rsidRPr="002938F2">
        <w:rPr>
          <w:i/>
          <w:lang w:val="es-ES_tradnl"/>
        </w:rPr>
        <w:t>Nell</w:t>
      </w:r>
      <w:proofErr w:type="spellEnd"/>
      <w:r w:rsidRPr="002938F2">
        <w:rPr>
          <w:i/>
          <w:lang w:val="es-ES_tradnl"/>
        </w:rPr>
        <w:t xml:space="preserve"> </w:t>
      </w:r>
      <w:proofErr w:type="spellStart"/>
      <w:r w:rsidRPr="002938F2">
        <w:rPr>
          <w:i/>
          <w:lang w:val="es-ES_tradnl"/>
        </w:rPr>
        <w:t>Toussaint</w:t>
      </w:r>
      <w:proofErr w:type="spellEnd"/>
      <w:r w:rsidRPr="002938F2">
        <w:rPr>
          <w:i/>
          <w:lang w:val="es-ES_tradnl"/>
        </w:rPr>
        <w:t xml:space="preserve"> </w:t>
      </w:r>
      <w:r w:rsidR="00BD7E9B">
        <w:rPr>
          <w:i/>
          <w:lang w:val="es-ES_tradnl"/>
        </w:rPr>
        <w:t>c</w:t>
      </w:r>
      <w:r w:rsidRPr="002938F2">
        <w:rPr>
          <w:i/>
          <w:lang w:val="es-ES_tradnl"/>
        </w:rPr>
        <w:t>. Canadá</w:t>
      </w:r>
      <w:r w:rsidRPr="002938F2">
        <w:rPr>
          <w:rStyle w:val="FootnoteReference"/>
          <w:sz w:val="20"/>
          <w:vertAlign w:val="baseline"/>
          <w:lang w:val="es-ES_tradnl"/>
        </w:rPr>
        <w:t xml:space="preserve"> </w:t>
      </w:r>
      <w:r>
        <w:rPr>
          <w:lang w:val="es-ES_tradnl"/>
        </w:rPr>
        <w:t>para sostener que la comunicación debe ser declarada admisible</w:t>
      </w:r>
      <w:r w:rsidRPr="009141B2">
        <w:rPr>
          <w:i/>
          <w:lang w:val="es-ES"/>
        </w:rPr>
        <w:t xml:space="preserve"> </w:t>
      </w:r>
      <w:r>
        <w:rPr>
          <w:lang w:val="es-ES"/>
        </w:rPr>
        <w:t>(</w:t>
      </w:r>
      <w:r w:rsidRPr="009141B2">
        <w:rPr>
          <w:lang w:val="es-ES"/>
        </w:rPr>
        <w:t>CCPR/C/123/D/2348/2014</w:t>
      </w:r>
      <w:r w:rsidR="006B48DB">
        <w:rPr>
          <w:lang w:val="es-ES"/>
        </w:rPr>
        <w:t>,</w:t>
      </w:r>
      <w:r>
        <w:rPr>
          <w:lang w:val="es-ES"/>
        </w:rPr>
        <w:t xml:space="preserve"> </w:t>
      </w:r>
      <w:r w:rsidRPr="009141B2">
        <w:rPr>
          <w:lang w:val="es-ES"/>
        </w:rPr>
        <w:t xml:space="preserve">de </w:t>
      </w:r>
      <w:r>
        <w:rPr>
          <w:lang w:val="es-ES"/>
        </w:rPr>
        <w:t>24 de julio</w:t>
      </w:r>
      <w:r w:rsidRPr="009141B2">
        <w:rPr>
          <w:lang w:val="es-ES"/>
        </w:rPr>
        <w:t xml:space="preserve"> </w:t>
      </w:r>
      <w:r>
        <w:rPr>
          <w:lang w:val="es-ES"/>
        </w:rPr>
        <w:t>de 2018, párr. 10.9: “</w:t>
      </w:r>
      <w:r w:rsidRPr="009141B2">
        <w:rPr>
          <w:lang w:val="es-ES"/>
        </w:rPr>
        <w:t>la autora ha explicado que no alega que se haya vulnerado su derecho a la salud, sino su derecho a la vida, en razón de que el Estado parte no cumplió su obligación p</w:t>
      </w:r>
      <w:r>
        <w:rPr>
          <w:lang w:val="es-ES"/>
        </w:rPr>
        <w:t>ositiva de proteger ese derecho”</w:t>
      </w:r>
      <w:r w:rsidR="006B48DB">
        <w:rPr>
          <w:lang w:val="es-ES"/>
        </w:rPr>
        <w:t>)</w:t>
      </w:r>
      <w:r w:rsidRPr="009141B2">
        <w:rPr>
          <w:lang w:val="es-ES"/>
        </w:rPr>
        <w:t>.</w:t>
      </w:r>
    </w:p>
  </w:footnote>
  <w:footnote w:id="29">
    <w:p w:rsidR="00AA5957" w:rsidRPr="00F456B1" w:rsidRDefault="00AA5957" w:rsidP="00F456B1">
      <w:pPr>
        <w:pStyle w:val="FootnoteText"/>
        <w:jc w:val="both"/>
        <w:rPr>
          <w:lang w:val="es-ES"/>
        </w:rPr>
      </w:pPr>
      <w:r>
        <w:rPr>
          <w:lang w:val="es-ES"/>
        </w:rPr>
        <w:tab/>
      </w:r>
      <w:r>
        <w:rPr>
          <w:rStyle w:val="FootnoteReference"/>
        </w:rPr>
        <w:footnoteRef/>
      </w:r>
      <w:r>
        <w:rPr>
          <w:lang w:val="es-ES"/>
        </w:rPr>
        <w:tab/>
        <w:t>Los autores recuerdan que</w:t>
      </w:r>
      <w:r w:rsidRPr="00F456B1">
        <w:rPr>
          <w:lang w:val="es-ES"/>
        </w:rPr>
        <w:t xml:space="preserve"> resulta sumamente difícil</w:t>
      </w:r>
      <w:r>
        <w:rPr>
          <w:lang w:val="es-ES"/>
        </w:rPr>
        <w:t xml:space="preserve"> desde la Colonia</w:t>
      </w:r>
      <w:r w:rsidRPr="00F456B1">
        <w:rPr>
          <w:lang w:val="es-ES"/>
        </w:rPr>
        <w:t xml:space="preserve"> el acceso a los servicios públicos, incluyendo la Fiscalía y los tribunales de justicia, ya que, careciendo por completo de servicios de transporte público, para el acceso y salida de la comunidad a la ruta más cercana</w:t>
      </w:r>
      <w:r>
        <w:rPr>
          <w:lang w:val="es-ES"/>
        </w:rPr>
        <w:t>, los habitantes tienen que transitar por uno de los</w:t>
      </w:r>
      <w:r w:rsidRPr="00F456B1">
        <w:rPr>
          <w:lang w:val="es-ES"/>
        </w:rPr>
        <w:t xml:space="preserve"> dos caminos</w:t>
      </w:r>
      <w:r>
        <w:rPr>
          <w:lang w:val="es-ES"/>
        </w:rPr>
        <w:t xml:space="preserve"> de tierra</w:t>
      </w:r>
      <w:r w:rsidRPr="00F456B1">
        <w:rPr>
          <w:lang w:val="es-ES"/>
        </w:rPr>
        <w:t>, de diez y de catorce kilómetros, ambos intransitables en casos de lluvia, y que una vez que se logra salir a la ruta, el núcleo urbano más cercano, el de la ciudad de Curuguaty, queda a veinte kilómetros</w:t>
      </w:r>
      <w:r>
        <w:rPr>
          <w:lang w:val="es-ES"/>
        </w:rPr>
        <w:t>.</w:t>
      </w:r>
    </w:p>
  </w:footnote>
  <w:footnote w:id="30">
    <w:p w:rsidR="00AA5957" w:rsidRPr="00AA28CC" w:rsidRDefault="00AA5957">
      <w:pPr>
        <w:pStyle w:val="FootnoteText"/>
        <w:rPr>
          <w:lang w:val="es-ES"/>
        </w:rPr>
      </w:pPr>
      <w:r>
        <w:rPr>
          <w:lang w:val="es-ES"/>
        </w:rPr>
        <w:tab/>
      </w:r>
      <w:r>
        <w:rPr>
          <w:rStyle w:val="FootnoteReference"/>
        </w:rPr>
        <w:footnoteRef/>
      </w:r>
      <w:r>
        <w:rPr>
          <w:lang w:val="es-ES"/>
        </w:rPr>
        <w:tab/>
      </w:r>
      <w:r w:rsidRPr="00AA28CC">
        <w:rPr>
          <w:lang w:val="es-ES"/>
        </w:rPr>
        <w:t>Observación general número 36 (CCPR/C/GC</w:t>
      </w:r>
      <w:r>
        <w:rPr>
          <w:lang w:val="es-ES"/>
        </w:rPr>
        <w:t>/36) de 30 de octubre de 2018, párr. 26</w:t>
      </w:r>
      <w:r w:rsidRPr="00AA28CC">
        <w:rPr>
          <w:lang w:val="es-ES"/>
        </w:rPr>
        <w:t>.</w:t>
      </w:r>
    </w:p>
  </w:footnote>
  <w:footnote w:id="31">
    <w:p w:rsidR="00AA5957" w:rsidRPr="00AA28CC" w:rsidRDefault="00AA5957">
      <w:pPr>
        <w:pStyle w:val="FootnoteText"/>
        <w:rPr>
          <w:lang w:val="es-ES"/>
        </w:rPr>
      </w:pPr>
      <w:r w:rsidRPr="00D54135">
        <w:rPr>
          <w:lang w:val="es-ES"/>
        </w:rPr>
        <w:tab/>
      </w:r>
      <w:r>
        <w:rPr>
          <w:rStyle w:val="FootnoteReference"/>
        </w:rPr>
        <w:footnoteRef/>
      </w:r>
      <w:r w:rsidRPr="00AA28CC">
        <w:rPr>
          <w:lang w:val="es-ES"/>
        </w:rPr>
        <w:tab/>
      </w:r>
      <w:proofErr w:type="spellStart"/>
      <w:r w:rsidR="00947601" w:rsidRPr="00314B3F">
        <w:rPr>
          <w:i/>
          <w:lang w:val="es-ES"/>
        </w:rPr>
        <w:t>Ibidem</w:t>
      </w:r>
      <w:proofErr w:type="spellEnd"/>
      <w:r w:rsidRPr="00AA28CC">
        <w:rPr>
          <w:lang w:val="es-ES"/>
        </w:rPr>
        <w:t xml:space="preserve">, </w:t>
      </w:r>
      <w:r>
        <w:rPr>
          <w:lang w:val="es-ES"/>
        </w:rPr>
        <w:t>p</w:t>
      </w:r>
      <w:r w:rsidRPr="00AA28CC">
        <w:rPr>
          <w:lang w:val="es-ES"/>
        </w:rPr>
        <w:t>á</w:t>
      </w:r>
      <w:r>
        <w:rPr>
          <w:lang w:val="es-ES"/>
        </w:rPr>
        <w:t>rr. 3</w:t>
      </w:r>
      <w:r w:rsidRPr="00AA28CC">
        <w:rPr>
          <w:lang w:val="es-ES"/>
        </w:rPr>
        <w:t>.</w:t>
      </w:r>
    </w:p>
  </w:footnote>
  <w:footnote w:id="32">
    <w:p w:rsidR="00AA5957" w:rsidRPr="00CC2683" w:rsidRDefault="00AA5957" w:rsidP="00523E47">
      <w:pPr>
        <w:pStyle w:val="FootnoteText"/>
        <w:jc w:val="both"/>
        <w:rPr>
          <w:lang w:val="es-ES"/>
        </w:rPr>
      </w:pPr>
      <w:r>
        <w:rPr>
          <w:lang w:val="es-ES"/>
        </w:rPr>
        <w:tab/>
      </w:r>
      <w:r>
        <w:rPr>
          <w:rStyle w:val="FootnoteReference"/>
        </w:rPr>
        <w:footnoteRef/>
      </w:r>
      <w:r>
        <w:rPr>
          <w:lang w:val="es-ES"/>
        </w:rPr>
        <w:tab/>
        <w:t>La</w:t>
      </w:r>
      <w:r w:rsidRPr="00CC2683">
        <w:rPr>
          <w:lang w:val="es-ES"/>
        </w:rPr>
        <w:t xml:space="preserve"> solicitud de fiscalización </w:t>
      </w:r>
      <w:r>
        <w:rPr>
          <w:lang w:val="es-ES"/>
        </w:rPr>
        <w:t xml:space="preserve">es </w:t>
      </w:r>
      <w:r w:rsidRPr="00CC2683">
        <w:rPr>
          <w:lang w:val="es-ES"/>
        </w:rPr>
        <w:t>de 15 de abril de 2016</w:t>
      </w:r>
      <w:r>
        <w:rPr>
          <w:lang w:val="es-ES"/>
        </w:rPr>
        <w:t xml:space="preserve"> y</w:t>
      </w:r>
      <w:r w:rsidRPr="00CC2683">
        <w:rPr>
          <w:lang w:val="es-ES"/>
        </w:rPr>
        <w:t xml:space="preserve"> </w:t>
      </w:r>
      <w:r>
        <w:rPr>
          <w:lang w:val="es-ES"/>
        </w:rPr>
        <w:t>necesit</w:t>
      </w:r>
      <w:r w:rsidRPr="00CC2683">
        <w:rPr>
          <w:lang w:val="es-ES"/>
        </w:rPr>
        <w:t>ó 2 años para llegar a una resolución</w:t>
      </w:r>
      <w:r>
        <w:rPr>
          <w:lang w:val="es-ES"/>
        </w:rPr>
        <w:t>.</w:t>
      </w:r>
    </w:p>
  </w:footnote>
  <w:footnote w:id="33">
    <w:p w:rsidR="00AA5957" w:rsidRPr="00BE1DCC" w:rsidRDefault="00AA5957" w:rsidP="001C445C">
      <w:pPr>
        <w:pStyle w:val="FootnoteText"/>
        <w:rPr>
          <w:lang w:val="es-ES_tradnl"/>
        </w:rPr>
      </w:pPr>
      <w:r w:rsidRPr="00AA28CC">
        <w:rPr>
          <w:lang w:val="es-ES"/>
        </w:rPr>
        <w:tab/>
      </w:r>
      <w:r w:rsidRPr="00BE1DCC">
        <w:rPr>
          <w:rStyle w:val="FootnoteReference"/>
          <w:lang w:val="es-ES_tradnl"/>
        </w:rPr>
        <w:footnoteRef/>
      </w:r>
      <w:r w:rsidRPr="00BE1DCC">
        <w:rPr>
          <w:lang w:val="es-ES_tradnl"/>
        </w:rPr>
        <w:tab/>
        <w:t>A/HRC/34/48/Add.2, 27 de enero de 2017, párr. 106</w:t>
      </w:r>
      <w:r>
        <w:rPr>
          <w:lang w:val="es-ES_tradnl"/>
        </w:rPr>
        <w:t>.</w:t>
      </w:r>
    </w:p>
  </w:footnote>
  <w:footnote w:id="34">
    <w:p w:rsidR="00AA5957" w:rsidRPr="00BE1DCC" w:rsidRDefault="00AA5957" w:rsidP="001C445C">
      <w:pPr>
        <w:pStyle w:val="FootnoteText"/>
        <w:rPr>
          <w:lang w:val="es-ES_tradnl"/>
        </w:rPr>
      </w:pPr>
      <w:r w:rsidRPr="00BE1DCC">
        <w:rPr>
          <w:lang w:val="es-ES_tradnl"/>
        </w:rPr>
        <w:tab/>
      </w:r>
      <w:r w:rsidRPr="00BE1DCC">
        <w:rPr>
          <w:rStyle w:val="FootnoteReference"/>
          <w:lang w:val="es-ES_tradnl"/>
        </w:rPr>
        <w:footnoteRef/>
      </w:r>
      <w:r w:rsidRPr="00BE1DCC">
        <w:rPr>
          <w:lang w:val="es-ES_tradnl"/>
        </w:rPr>
        <w:tab/>
        <w:t>A/HRC/30/41/Add.1, 13 de agosto de 2015, párr. 48</w:t>
      </w:r>
      <w:r>
        <w:rPr>
          <w:lang w:val="es-ES_tradnl"/>
        </w:rPr>
        <w:t xml:space="preserve"> y </w:t>
      </w:r>
      <w:r w:rsidRPr="00DE1F5D">
        <w:rPr>
          <w:lang w:val="es-ES_tradnl"/>
        </w:rPr>
        <w:t>83. g</w:t>
      </w:r>
      <w:r w:rsidRPr="00BE1DCC">
        <w:rPr>
          <w:lang w:val="es-ES_tradnl"/>
        </w:rPr>
        <w:t>.</w:t>
      </w:r>
    </w:p>
  </w:footnote>
  <w:footnote w:id="35">
    <w:p w:rsidR="00AA5957" w:rsidRPr="00D54135" w:rsidRDefault="00AA5957">
      <w:pPr>
        <w:pStyle w:val="FootnoteText"/>
        <w:rPr>
          <w:lang w:val="es-ES"/>
        </w:rPr>
      </w:pPr>
      <w:r w:rsidRPr="00D54135">
        <w:rPr>
          <w:lang w:val="es-ES"/>
        </w:rPr>
        <w:tab/>
      </w:r>
      <w:r>
        <w:rPr>
          <w:rStyle w:val="FootnoteReference"/>
        </w:rPr>
        <w:footnoteRef/>
      </w:r>
      <w:r w:rsidRPr="00D54135">
        <w:rPr>
          <w:lang w:val="es-ES"/>
        </w:rPr>
        <w:tab/>
        <w:t>E/C.12/PRY/CO/4, 20 de marzo de 2015, párr. 25.</w:t>
      </w:r>
    </w:p>
  </w:footnote>
  <w:footnote w:id="36">
    <w:p w:rsidR="00AA5957" w:rsidRPr="005C24A5" w:rsidRDefault="00AA5957" w:rsidP="005C24A5">
      <w:pPr>
        <w:pStyle w:val="FootnoteText"/>
        <w:jc w:val="both"/>
        <w:rPr>
          <w:lang w:val="es-ES"/>
        </w:rPr>
      </w:pPr>
      <w:r>
        <w:rPr>
          <w:lang w:val="es-ES"/>
        </w:rPr>
        <w:tab/>
      </w:r>
      <w:r>
        <w:rPr>
          <w:rStyle w:val="FootnoteReference"/>
        </w:rPr>
        <w:footnoteRef/>
      </w:r>
      <w:r>
        <w:rPr>
          <w:lang w:val="es-ES"/>
        </w:rPr>
        <w:tab/>
        <w:t xml:space="preserve">Los autores mencionan la </w:t>
      </w:r>
      <w:r w:rsidRPr="005C24A5">
        <w:rPr>
          <w:lang w:val="es-ES"/>
        </w:rPr>
        <w:t xml:space="preserve">Mesa de Concertación para el Desarrollo Rural Sostenible. Informe de la Sociedad Civil sobre el Cumplimiento del PIDESC en el Paraguay 2000 – 2006, Asunción, 2007, p. 22, disponible en: </w:t>
      </w:r>
      <w:hyperlink r:id="rId1" w:history="1">
        <w:r w:rsidRPr="00275D64">
          <w:rPr>
            <w:rStyle w:val="Hyperlink"/>
            <w:lang w:val="es-ES"/>
          </w:rPr>
          <w:t>https://www2.ohchr.org/english/bodies/cescr/docs/info-ngos/DESC-Paraguay.pdf</w:t>
        </w:r>
      </w:hyperlink>
      <w:r>
        <w:rPr>
          <w:lang w:val="es-ES"/>
        </w:rPr>
        <w:t xml:space="preserve">. </w:t>
      </w:r>
    </w:p>
  </w:footnote>
  <w:footnote w:id="37">
    <w:p w:rsidR="00AA5957" w:rsidRPr="005C24A5" w:rsidRDefault="00AA5957" w:rsidP="005C24A5">
      <w:pPr>
        <w:pStyle w:val="FootnoteText"/>
        <w:jc w:val="both"/>
        <w:rPr>
          <w:lang w:val="es-ES"/>
        </w:rPr>
      </w:pPr>
      <w:r>
        <w:rPr>
          <w:lang w:val="es-ES"/>
        </w:rPr>
        <w:tab/>
      </w:r>
      <w:r w:rsidRPr="005C24A5">
        <w:rPr>
          <w:rStyle w:val="FootnoteReference"/>
          <w:lang w:val="es-ES"/>
        </w:rPr>
        <w:footnoteRef/>
      </w:r>
      <w:r>
        <w:rPr>
          <w:lang w:val="es-ES"/>
        </w:rPr>
        <w:tab/>
      </w:r>
      <w:r w:rsidRPr="005C24A5">
        <w:rPr>
          <w:lang w:val="es-ES"/>
        </w:rPr>
        <w:t>Los autores reenvían a</w:t>
      </w:r>
      <w:r>
        <w:rPr>
          <w:lang w:val="es-ES"/>
        </w:rPr>
        <w:t>l</w:t>
      </w:r>
      <w:r w:rsidRPr="005C24A5">
        <w:rPr>
          <w:lang w:val="es-ES"/>
        </w:rPr>
        <w:t xml:space="preserve"> </w:t>
      </w:r>
      <w:r>
        <w:rPr>
          <w:lang w:val="es-ES"/>
        </w:rPr>
        <w:t>artículo de prensa disponible en</w:t>
      </w:r>
      <w:r w:rsidRPr="005C24A5">
        <w:rPr>
          <w:lang w:val="es-ES"/>
        </w:rPr>
        <w:t xml:space="preserve"> </w:t>
      </w:r>
      <w:hyperlink r:id="rId2" w:history="1">
        <w:r w:rsidRPr="00275D64">
          <w:rPr>
            <w:rStyle w:val="Hyperlink"/>
            <w:lang w:val="es-ES"/>
          </w:rPr>
          <w:t>https://www.ultimahora.com/dos-ninas-fallecieron-curuguaty-causa-agrotoxicos-segun-la-fnc-n814364.html</w:t>
        </w:r>
      </w:hyperlink>
      <w:r>
        <w:rPr>
          <w:lang w:val="es-ES"/>
        </w:rPr>
        <w:t xml:space="preserve">. </w:t>
      </w:r>
    </w:p>
  </w:footnote>
  <w:footnote w:id="38">
    <w:p w:rsidR="00AA5957" w:rsidRPr="004104B0" w:rsidRDefault="00AA5957" w:rsidP="004104B0">
      <w:pPr>
        <w:pStyle w:val="FootnoteText"/>
        <w:jc w:val="both"/>
        <w:rPr>
          <w:lang w:val="es-ES"/>
        </w:rPr>
      </w:pPr>
      <w:r>
        <w:rPr>
          <w:lang w:val="es-ES"/>
        </w:rPr>
        <w:tab/>
      </w:r>
      <w:r>
        <w:rPr>
          <w:rStyle w:val="FootnoteReference"/>
        </w:rPr>
        <w:footnoteRef/>
      </w:r>
      <w:r>
        <w:rPr>
          <w:lang w:val="es-ES"/>
        </w:rPr>
        <w:tab/>
      </w:r>
      <w:r w:rsidRPr="004104B0">
        <w:rPr>
          <w:lang w:val="es-ES"/>
        </w:rPr>
        <w:t xml:space="preserve">Los autores reenvían al artículo de prensa </w:t>
      </w:r>
      <w:r>
        <w:rPr>
          <w:lang w:val="es-ES"/>
        </w:rPr>
        <w:t>“</w:t>
      </w:r>
      <w:r w:rsidRPr="00E04536">
        <w:rPr>
          <w:lang w:val="es-ES"/>
        </w:rPr>
        <w:t xml:space="preserve">Comunidad indígena afectada por fumigación de </w:t>
      </w:r>
      <w:proofErr w:type="spellStart"/>
      <w:r w:rsidRPr="00E04536">
        <w:rPr>
          <w:lang w:val="es-ES"/>
        </w:rPr>
        <w:t>sojales</w:t>
      </w:r>
      <w:proofErr w:type="spellEnd"/>
      <w:r w:rsidRPr="00E04536">
        <w:rPr>
          <w:lang w:val="es-ES"/>
        </w:rPr>
        <w:t xml:space="preserve"> en </w:t>
      </w:r>
      <w:proofErr w:type="spellStart"/>
      <w:r w:rsidRPr="00E04536">
        <w:rPr>
          <w:lang w:val="es-ES"/>
        </w:rPr>
        <w:t>Curuguaty</w:t>
      </w:r>
      <w:proofErr w:type="spellEnd"/>
      <w:r>
        <w:rPr>
          <w:lang w:val="es-ES"/>
        </w:rPr>
        <w:t>”,</w:t>
      </w:r>
      <w:r w:rsidRPr="00E04536">
        <w:rPr>
          <w:lang w:val="es-ES"/>
        </w:rPr>
        <w:t xml:space="preserve"> </w:t>
      </w:r>
      <w:r w:rsidRPr="004104B0">
        <w:rPr>
          <w:lang w:val="es-ES"/>
        </w:rPr>
        <w:t xml:space="preserve">disponible en </w:t>
      </w:r>
      <w:hyperlink r:id="rId3" w:history="1">
        <w:r w:rsidRPr="00275D64">
          <w:rPr>
            <w:rStyle w:val="Hyperlink"/>
            <w:lang w:val="es-ES"/>
          </w:rPr>
          <w:t>https://www.ultimahora.com/comunidad-indigena-afectada-fumigacion-sojales-curuguaty-n1101022.html</w:t>
        </w:r>
      </w:hyperlink>
      <w:r>
        <w:rPr>
          <w:lang w:val="es-ES"/>
        </w:rPr>
        <w:t xml:space="preserve">. </w:t>
      </w:r>
    </w:p>
  </w:footnote>
  <w:footnote w:id="39">
    <w:p w:rsidR="00AA5957" w:rsidRPr="003C3478" w:rsidRDefault="00AA5957" w:rsidP="003C3478">
      <w:pPr>
        <w:pStyle w:val="FootnoteText"/>
        <w:jc w:val="both"/>
        <w:rPr>
          <w:lang w:val="es-ES"/>
        </w:rPr>
      </w:pPr>
      <w:r>
        <w:rPr>
          <w:lang w:val="es-ES"/>
        </w:rPr>
        <w:tab/>
      </w:r>
      <w:r>
        <w:rPr>
          <w:rStyle w:val="FootnoteReference"/>
        </w:rPr>
        <w:footnoteRef/>
      </w:r>
      <w:r>
        <w:rPr>
          <w:lang w:val="es-ES"/>
        </w:rPr>
        <w:tab/>
      </w:r>
      <w:r w:rsidRPr="003C3478">
        <w:rPr>
          <w:lang w:val="es-ES"/>
        </w:rPr>
        <w:t xml:space="preserve">Jurisprudencia constante desde el dictamen </w:t>
      </w:r>
      <w:r w:rsidRPr="003C3478">
        <w:rPr>
          <w:i/>
          <w:lang w:val="es-ES"/>
        </w:rPr>
        <w:t>T.K. vs. Francia</w:t>
      </w:r>
      <w:r w:rsidRPr="003C3478">
        <w:rPr>
          <w:lang w:val="es-ES"/>
        </w:rPr>
        <w:t xml:space="preserve"> (CCPR/C/37/D/220/1987) de 8 de noviembre de 1989, párr. 8.3.</w:t>
      </w:r>
    </w:p>
  </w:footnote>
  <w:footnote w:id="40">
    <w:p w:rsidR="00AA5957" w:rsidRPr="002B095F" w:rsidRDefault="00AA5957" w:rsidP="00324B18">
      <w:pPr>
        <w:pStyle w:val="FootnoteText"/>
        <w:jc w:val="both"/>
        <w:rPr>
          <w:lang w:val="es-ES"/>
        </w:rPr>
      </w:pPr>
      <w:r w:rsidRPr="002B095F">
        <w:rPr>
          <w:lang w:val="es-ES"/>
        </w:rPr>
        <w:tab/>
      </w:r>
      <w:r w:rsidRPr="002B095F">
        <w:rPr>
          <w:rStyle w:val="FootnoteReference"/>
          <w:lang w:val="es-ES"/>
        </w:rPr>
        <w:footnoteRef/>
      </w:r>
      <w:r w:rsidRPr="002B095F">
        <w:rPr>
          <w:lang w:val="es-ES"/>
        </w:rPr>
        <w:tab/>
        <w:t xml:space="preserve">Ver </w:t>
      </w:r>
      <w:r>
        <w:rPr>
          <w:lang w:val="es-ES"/>
        </w:rPr>
        <w:t>los</w:t>
      </w:r>
      <w:r w:rsidRPr="002B095F">
        <w:rPr>
          <w:lang w:val="es-ES"/>
        </w:rPr>
        <w:t xml:space="preserve"> </w:t>
      </w:r>
      <w:r>
        <w:rPr>
          <w:lang w:val="es-ES"/>
        </w:rPr>
        <w:t>ú</w:t>
      </w:r>
      <w:r w:rsidRPr="002B095F">
        <w:rPr>
          <w:lang w:val="es-ES"/>
        </w:rPr>
        <w:t>ltimo</w:t>
      </w:r>
      <w:r>
        <w:rPr>
          <w:lang w:val="es-ES"/>
        </w:rPr>
        <w:t>s</w:t>
      </w:r>
      <w:r w:rsidRPr="002B095F">
        <w:rPr>
          <w:lang w:val="es-ES"/>
        </w:rPr>
        <w:t xml:space="preserve"> dict</w:t>
      </w:r>
      <w:r>
        <w:rPr>
          <w:lang w:val="es-ES"/>
        </w:rPr>
        <w:t>á</w:t>
      </w:r>
      <w:r w:rsidRPr="002B095F">
        <w:rPr>
          <w:lang w:val="es-ES"/>
        </w:rPr>
        <w:t>men</w:t>
      </w:r>
      <w:r>
        <w:rPr>
          <w:lang w:val="es-ES"/>
        </w:rPr>
        <w:t>es</w:t>
      </w:r>
      <w:r w:rsidRPr="002B095F">
        <w:rPr>
          <w:lang w:val="es-ES"/>
        </w:rPr>
        <w:t xml:space="preserve"> </w:t>
      </w:r>
      <w:r>
        <w:rPr>
          <w:lang w:val="es-ES"/>
        </w:rPr>
        <w:t xml:space="preserve">del Comité en cuanto a prolongaciones injustificadas: </w:t>
      </w:r>
      <w:proofErr w:type="spellStart"/>
      <w:r w:rsidRPr="0087202D">
        <w:rPr>
          <w:i/>
          <w:lang w:val="es-ES"/>
        </w:rPr>
        <w:t>Ekaterina</w:t>
      </w:r>
      <w:proofErr w:type="spellEnd"/>
      <w:r w:rsidRPr="0087202D">
        <w:rPr>
          <w:i/>
          <w:lang w:val="es-ES"/>
        </w:rPr>
        <w:t xml:space="preserve"> </w:t>
      </w:r>
      <w:proofErr w:type="spellStart"/>
      <w:r w:rsidRPr="0087202D">
        <w:rPr>
          <w:i/>
          <w:lang w:val="es-ES"/>
        </w:rPr>
        <w:t>Abdoellaevna</w:t>
      </w:r>
      <w:proofErr w:type="spellEnd"/>
      <w:r w:rsidRPr="0087202D">
        <w:rPr>
          <w:i/>
          <w:lang w:val="es-ES"/>
        </w:rPr>
        <w:t xml:space="preserve"> </w:t>
      </w:r>
      <w:r w:rsidR="00DC5F45">
        <w:rPr>
          <w:i/>
          <w:lang w:val="es-ES"/>
        </w:rPr>
        <w:t>c</w:t>
      </w:r>
      <w:r w:rsidRPr="0087202D">
        <w:rPr>
          <w:i/>
          <w:lang w:val="es-ES"/>
        </w:rPr>
        <w:t>. Países Bajos</w:t>
      </w:r>
      <w:r>
        <w:rPr>
          <w:lang w:val="es-ES"/>
        </w:rPr>
        <w:t xml:space="preserve"> (</w:t>
      </w:r>
      <w:r w:rsidRPr="00B4041B">
        <w:rPr>
          <w:lang w:val="es-ES"/>
        </w:rPr>
        <w:t>CCPR/C/125/D/2498/2014</w:t>
      </w:r>
      <w:r>
        <w:rPr>
          <w:lang w:val="es-ES"/>
        </w:rPr>
        <w:t xml:space="preserve">) de 26 de marzo de 2019, párr. 6.3 y </w:t>
      </w:r>
      <w:r w:rsidRPr="0087202D">
        <w:rPr>
          <w:i/>
          <w:lang w:val="es-ES"/>
        </w:rPr>
        <w:t xml:space="preserve">Vladimir </w:t>
      </w:r>
      <w:proofErr w:type="spellStart"/>
      <w:r w:rsidRPr="0087202D">
        <w:rPr>
          <w:i/>
          <w:lang w:val="es-ES"/>
        </w:rPr>
        <w:t>Chernev</w:t>
      </w:r>
      <w:proofErr w:type="spellEnd"/>
      <w:r w:rsidRPr="0087202D">
        <w:rPr>
          <w:i/>
          <w:lang w:val="es-ES"/>
        </w:rPr>
        <w:t xml:space="preserve"> </w:t>
      </w:r>
      <w:r w:rsidR="00DC5F45">
        <w:rPr>
          <w:i/>
          <w:lang w:val="es-ES"/>
        </w:rPr>
        <w:t>c</w:t>
      </w:r>
      <w:r w:rsidRPr="0087202D">
        <w:rPr>
          <w:i/>
          <w:lang w:val="es-ES"/>
        </w:rPr>
        <w:t>. Rusia</w:t>
      </w:r>
      <w:r>
        <w:rPr>
          <w:lang w:val="es-ES"/>
        </w:rPr>
        <w:t xml:space="preserve"> (</w:t>
      </w:r>
      <w:r w:rsidRPr="002B095F">
        <w:rPr>
          <w:lang w:val="es-ES"/>
        </w:rPr>
        <w:t>CCPR/C/125/D/2322/2013</w:t>
      </w:r>
      <w:r>
        <w:rPr>
          <w:lang w:val="es-ES"/>
        </w:rPr>
        <w:t>) de 15 de marzo de 2019, párr. 11.3.</w:t>
      </w:r>
    </w:p>
  </w:footnote>
  <w:footnote w:id="41">
    <w:p w:rsidR="00AA5957" w:rsidRPr="004406D3" w:rsidRDefault="00AA5957" w:rsidP="00EF0A39">
      <w:pPr>
        <w:pStyle w:val="FootnoteText"/>
        <w:rPr>
          <w:lang w:val="es-ES"/>
        </w:rPr>
      </w:pPr>
      <w:r>
        <w:rPr>
          <w:lang w:val="es-ES"/>
        </w:rPr>
        <w:tab/>
      </w:r>
      <w:r>
        <w:rPr>
          <w:rStyle w:val="FootnoteReference"/>
        </w:rPr>
        <w:footnoteRef/>
      </w:r>
      <w:r>
        <w:rPr>
          <w:lang w:val="es-ES"/>
        </w:rPr>
        <w:tab/>
      </w:r>
      <w:r w:rsidRPr="004406D3">
        <w:rPr>
          <w:i/>
          <w:lang w:val="es-ES"/>
        </w:rPr>
        <w:t xml:space="preserve">B. </w:t>
      </w:r>
      <w:proofErr w:type="spellStart"/>
      <w:r w:rsidRPr="004406D3">
        <w:rPr>
          <w:i/>
          <w:lang w:val="es-ES"/>
        </w:rPr>
        <w:t>Colamarco</w:t>
      </w:r>
      <w:proofErr w:type="spellEnd"/>
      <w:r w:rsidRPr="004406D3">
        <w:rPr>
          <w:i/>
          <w:lang w:val="es-ES"/>
        </w:rPr>
        <w:t xml:space="preserve"> Patiño c. Panamá</w:t>
      </w:r>
      <w:r w:rsidRPr="004406D3">
        <w:rPr>
          <w:lang w:val="es-ES"/>
        </w:rPr>
        <w:t xml:space="preserve"> (</w:t>
      </w:r>
      <w:r>
        <w:rPr>
          <w:lang w:val="es-ES"/>
        </w:rPr>
        <w:t>CCPR/C/52/D/437/1990) de</w:t>
      </w:r>
      <w:r w:rsidRPr="004406D3">
        <w:rPr>
          <w:lang w:val="es-ES"/>
        </w:rPr>
        <w:t xml:space="preserve"> 21 de octubre de 1994</w:t>
      </w:r>
      <w:r>
        <w:rPr>
          <w:lang w:val="es-ES"/>
        </w:rPr>
        <w:t>, párr. 5.2.</w:t>
      </w:r>
    </w:p>
  </w:footnote>
  <w:footnote w:id="42">
    <w:p w:rsidR="00DF202A" w:rsidRPr="00DF202A" w:rsidRDefault="00DF202A">
      <w:pPr>
        <w:pStyle w:val="FootnoteText"/>
        <w:rPr>
          <w:lang w:val="es-ES"/>
        </w:rPr>
      </w:pPr>
      <w:r>
        <w:rPr>
          <w:lang w:val="es-ES"/>
        </w:rPr>
        <w:tab/>
      </w:r>
      <w:r>
        <w:rPr>
          <w:rStyle w:val="FootnoteReference"/>
        </w:rPr>
        <w:footnoteRef/>
      </w:r>
      <w:r>
        <w:rPr>
          <w:lang w:val="es-ES"/>
        </w:rPr>
        <w:tab/>
      </w:r>
      <w:proofErr w:type="spellStart"/>
      <w:r w:rsidRPr="00B4401A">
        <w:rPr>
          <w:i/>
          <w:lang w:val="es-ES"/>
        </w:rPr>
        <w:t>Medjnoune</w:t>
      </w:r>
      <w:proofErr w:type="spellEnd"/>
      <w:r w:rsidRPr="00B4401A">
        <w:rPr>
          <w:i/>
          <w:lang w:val="es-ES"/>
        </w:rPr>
        <w:t xml:space="preserve"> </w:t>
      </w:r>
      <w:r w:rsidR="00051EE3">
        <w:rPr>
          <w:i/>
          <w:lang w:val="es-ES"/>
        </w:rPr>
        <w:t>c</w:t>
      </w:r>
      <w:r w:rsidRPr="00B4401A">
        <w:rPr>
          <w:i/>
          <w:lang w:val="es-ES"/>
        </w:rPr>
        <w:t xml:space="preserve">. </w:t>
      </w:r>
      <w:proofErr w:type="spellStart"/>
      <w:r w:rsidRPr="00B4401A">
        <w:rPr>
          <w:i/>
          <w:lang w:val="es-ES"/>
        </w:rPr>
        <w:t>Algeria</w:t>
      </w:r>
      <w:proofErr w:type="spellEnd"/>
      <w:r w:rsidR="00B4401A">
        <w:rPr>
          <w:lang w:val="es-ES"/>
        </w:rPr>
        <w:t xml:space="preserve"> (</w:t>
      </w:r>
      <w:r w:rsidR="00B4401A" w:rsidRPr="00B4401A">
        <w:rPr>
          <w:lang w:val="es-ES"/>
        </w:rPr>
        <w:t>CCPR/C/87/D/1297/2004</w:t>
      </w:r>
      <w:r w:rsidR="00B4401A">
        <w:rPr>
          <w:lang w:val="es-ES"/>
        </w:rPr>
        <w:t>) de</w:t>
      </w:r>
      <w:r w:rsidRPr="00DF202A">
        <w:rPr>
          <w:lang w:val="es-ES"/>
        </w:rPr>
        <w:t xml:space="preserve"> 14 de julio de 2006, párr. 8.3</w:t>
      </w:r>
      <w:r w:rsidR="00B4401A">
        <w:rPr>
          <w:lang w:val="es-ES"/>
        </w:rPr>
        <w:t>.</w:t>
      </w:r>
    </w:p>
  </w:footnote>
  <w:footnote w:id="43">
    <w:p w:rsidR="00AA5957" w:rsidRPr="007706D3" w:rsidRDefault="00AA5957" w:rsidP="00CB7600">
      <w:pPr>
        <w:pStyle w:val="FootnoteText"/>
        <w:rPr>
          <w:lang w:val="es-ES"/>
        </w:rPr>
      </w:pPr>
      <w:r w:rsidRPr="007706D3">
        <w:rPr>
          <w:lang w:val="es-ES"/>
        </w:rPr>
        <w:tab/>
      </w:r>
      <w:r>
        <w:rPr>
          <w:rStyle w:val="FootnoteReference"/>
        </w:rPr>
        <w:footnoteRef/>
      </w:r>
      <w:r w:rsidRPr="00D6670B">
        <w:rPr>
          <w:lang w:val="es-ES"/>
        </w:rPr>
        <w:tab/>
      </w:r>
      <w:proofErr w:type="spellStart"/>
      <w:r w:rsidRPr="00D6670B">
        <w:rPr>
          <w:i/>
          <w:lang w:val="es-ES"/>
        </w:rPr>
        <w:t>Nell</w:t>
      </w:r>
      <w:proofErr w:type="spellEnd"/>
      <w:r w:rsidRPr="00D6670B">
        <w:rPr>
          <w:i/>
          <w:lang w:val="es-ES"/>
        </w:rPr>
        <w:t xml:space="preserve"> </w:t>
      </w:r>
      <w:proofErr w:type="spellStart"/>
      <w:r w:rsidRPr="00D6670B">
        <w:rPr>
          <w:i/>
          <w:lang w:val="es-ES"/>
        </w:rPr>
        <w:t>Toussaint</w:t>
      </w:r>
      <w:proofErr w:type="spellEnd"/>
      <w:r w:rsidRPr="00D6670B">
        <w:rPr>
          <w:i/>
          <w:lang w:val="es-ES"/>
        </w:rPr>
        <w:t xml:space="preserve"> </w:t>
      </w:r>
      <w:r w:rsidR="00051EE3" w:rsidRPr="00D6670B">
        <w:rPr>
          <w:i/>
          <w:lang w:val="es-ES"/>
        </w:rPr>
        <w:t>c</w:t>
      </w:r>
      <w:r w:rsidRPr="00D6670B">
        <w:rPr>
          <w:i/>
          <w:lang w:val="es-ES"/>
        </w:rPr>
        <w:t>. Canadá</w:t>
      </w:r>
      <w:r w:rsidRPr="00D6670B">
        <w:rPr>
          <w:lang w:val="es-ES"/>
        </w:rPr>
        <w:t xml:space="preserve">, </w:t>
      </w:r>
      <w:proofErr w:type="spellStart"/>
      <w:r w:rsidR="00D466E3" w:rsidRPr="00D6670B">
        <w:rPr>
          <w:i/>
          <w:lang w:val="es-ES"/>
        </w:rPr>
        <w:t>op</w:t>
      </w:r>
      <w:proofErr w:type="spellEnd"/>
      <w:r w:rsidR="00D466E3" w:rsidRPr="00D6670B">
        <w:rPr>
          <w:i/>
          <w:lang w:val="es-ES"/>
        </w:rPr>
        <w:t>. cit</w:t>
      </w:r>
      <w:r w:rsidR="00D466E3" w:rsidRPr="00D6670B">
        <w:rPr>
          <w:lang w:val="es-ES"/>
        </w:rPr>
        <w:t xml:space="preserve">., </w:t>
      </w:r>
      <w:r w:rsidRPr="00D6670B">
        <w:rPr>
          <w:lang w:val="es-ES"/>
        </w:rPr>
        <w:t xml:space="preserve">párr. </w:t>
      </w:r>
      <w:r w:rsidRPr="007706D3">
        <w:rPr>
          <w:lang w:val="es-ES"/>
        </w:rPr>
        <w:t>11.3.</w:t>
      </w:r>
    </w:p>
  </w:footnote>
  <w:footnote w:id="44">
    <w:p w:rsidR="00AA5957" w:rsidRPr="00323B25" w:rsidRDefault="00AA5957">
      <w:pPr>
        <w:pStyle w:val="FootnoteText"/>
        <w:rPr>
          <w:lang w:val="es-ES"/>
        </w:rPr>
      </w:pPr>
      <w:r>
        <w:rPr>
          <w:lang w:val="es-ES"/>
        </w:rPr>
        <w:tab/>
      </w:r>
      <w:r>
        <w:rPr>
          <w:rStyle w:val="FootnoteReference"/>
        </w:rPr>
        <w:footnoteRef/>
      </w:r>
      <w:r>
        <w:rPr>
          <w:lang w:val="es-ES"/>
        </w:rPr>
        <w:tab/>
      </w:r>
      <w:r w:rsidRPr="00323B25">
        <w:rPr>
          <w:lang w:val="es-ES"/>
        </w:rPr>
        <w:t xml:space="preserve">Observación general número 36, </w:t>
      </w:r>
      <w:proofErr w:type="spellStart"/>
      <w:r w:rsidR="00E0664C" w:rsidRPr="00314B3F">
        <w:rPr>
          <w:i/>
          <w:lang w:val="es-ES"/>
        </w:rPr>
        <w:t>op</w:t>
      </w:r>
      <w:proofErr w:type="spellEnd"/>
      <w:r w:rsidR="00E0664C" w:rsidRPr="00314B3F">
        <w:rPr>
          <w:i/>
          <w:lang w:val="es-ES"/>
        </w:rPr>
        <w:t>. cit</w:t>
      </w:r>
      <w:r w:rsidR="00E0664C">
        <w:rPr>
          <w:lang w:val="es-ES"/>
        </w:rPr>
        <w:t xml:space="preserve">., </w:t>
      </w:r>
      <w:r w:rsidRPr="00323B25">
        <w:rPr>
          <w:lang w:val="es-ES"/>
        </w:rPr>
        <w:t>párr. 3</w:t>
      </w:r>
      <w:r>
        <w:rPr>
          <w:lang w:val="es-ES"/>
        </w:rPr>
        <w:t>.</w:t>
      </w:r>
    </w:p>
  </w:footnote>
  <w:footnote w:id="45">
    <w:p w:rsidR="00AA5957" w:rsidRPr="00AA28CC" w:rsidRDefault="00AA5957" w:rsidP="00323B25">
      <w:pPr>
        <w:pStyle w:val="FootnoteText"/>
        <w:rPr>
          <w:lang w:val="es-ES"/>
        </w:rPr>
      </w:pPr>
      <w:r>
        <w:rPr>
          <w:lang w:val="es-ES"/>
        </w:rPr>
        <w:tab/>
      </w:r>
      <w:r>
        <w:rPr>
          <w:rStyle w:val="FootnoteReference"/>
        </w:rPr>
        <w:footnoteRef/>
      </w:r>
      <w:r>
        <w:rPr>
          <w:lang w:val="es-ES"/>
        </w:rPr>
        <w:tab/>
      </w:r>
      <w:proofErr w:type="spellStart"/>
      <w:r w:rsidR="00E0664C" w:rsidRPr="00314B3F">
        <w:rPr>
          <w:i/>
          <w:lang w:val="es-ES"/>
        </w:rPr>
        <w:t>Ibidem</w:t>
      </w:r>
      <w:proofErr w:type="spellEnd"/>
      <w:r>
        <w:rPr>
          <w:lang w:val="es-ES"/>
        </w:rPr>
        <w:t>, párr. 26</w:t>
      </w:r>
      <w:r w:rsidRPr="00AA28CC">
        <w:rPr>
          <w:lang w:val="es-ES"/>
        </w:rPr>
        <w:t>.</w:t>
      </w:r>
    </w:p>
  </w:footnote>
  <w:footnote w:id="46">
    <w:p w:rsidR="00AA5957" w:rsidRPr="00AF1D03" w:rsidRDefault="00AA5957" w:rsidP="00505ED0">
      <w:pPr>
        <w:pStyle w:val="FootnoteText"/>
        <w:rPr>
          <w:lang w:val="es-ES"/>
        </w:rPr>
      </w:pPr>
      <w:r>
        <w:rPr>
          <w:lang w:val="es-ES"/>
        </w:rPr>
        <w:tab/>
      </w:r>
      <w:r>
        <w:rPr>
          <w:rStyle w:val="FootnoteReference"/>
        </w:rPr>
        <w:footnoteRef/>
      </w:r>
      <w:r>
        <w:rPr>
          <w:lang w:val="es-ES"/>
        </w:rPr>
        <w:tab/>
      </w:r>
      <w:proofErr w:type="spellStart"/>
      <w:r w:rsidR="00E0664C" w:rsidRPr="00314B3F">
        <w:rPr>
          <w:i/>
          <w:lang w:val="es-ES"/>
        </w:rPr>
        <w:t>Ibidem</w:t>
      </w:r>
      <w:proofErr w:type="spellEnd"/>
      <w:r w:rsidRPr="00AF1D03">
        <w:rPr>
          <w:lang w:val="es-ES"/>
        </w:rPr>
        <w:t>, párr. 7</w:t>
      </w:r>
      <w:r>
        <w:rPr>
          <w:lang w:val="es-ES"/>
        </w:rPr>
        <w:t>.</w:t>
      </w:r>
    </w:p>
  </w:footnote>
  <w:footnote w:id="47">
    <w:p w:rsidR="00AA5957" w:rsidRPr="00C874E0" w:rsidRDefault="00AA5957" w:rsidP="001A709B">
      <w:pPr>
        <w:pStyle w:val="FootnoteText"/>
        <w:jc w:val="both"/>
        <w:rPr>
          <w:lang w:val="es-ES"/>
        </w:rPr>
      </w:pPr>
      <w:r w:rsidRPr="00C874E0">
        <w:rPr>
          <w:lang w:val="es-ES"/>
        </w:rPr>
        <w:tab/>
      </w:r>
      <w:r w:rsidRPr="00C874E0">
        <w:rPr>
          <w:rStyle w:val="FootnoteReference"/>
          <w:lang w:val="es-ES"/>
        </w:rPr>
        <w:footnoteRef/>
      </w:r>
      <w:r w:rsidRPr="00C874E0">
        <w:rPr>
          <w:lang w:val="es-ES"/>
        </w:rPr>
        <w:tab/>
        <w:t xml:space="preserve">Corte Interamericana de Derechos Humanos, </w:t>
      </w:r>
      <w:r w:rsidRPr="00882D58">
        <w:rPr>
          <w:i/>
          <w:lang w:val="es-ES"/>
        </w:rPr>
        <w:t>Opinión Consultiva Medio ambiente y derechos humanos</w:t>
      </w:r>
      <w:r>
        <w:rPr>
          <w:lang w:val="es-ES"/>
        </w:rPr>
        <w:t>.</w:t>
      </w:r>
      <w:r w:rsidRPr="00CA7B31">
        <w:rPr>
          <w:lang w:val="es-ES"/>
        </w:rPr>
        <w:t xml:space="preserve"> OC-23/17 de 15 de noviembre de 2017. Serie A No. 23</w:t>
      </w:r>
      <w:r>
        <w:rPr>
          <w:lang w:val="es-ES"/>
        </w:rPr>
        <w:t>, párr. 47</w:t>
      </w:r>
      <w:r w:rsidR="00094E37">
        <w:rPr>
          <w:lang w:val="es-ES"/>
        </w:rPr>
        <w:t>, 108 y siguientes</w:t>
      </w:r>
      <w:r>
        <w:rPr>
          <w:lang w:val="es-ES"/>
        </w:rPr>
        <w:t xml:space="preserve">; </w:t>
      </w:r>
      <w:r w:rsidRPr="00C874E0">
        <w:rPr>
          <w:i/>
          <w:lang w:val="es-ES"/>
        </w:rPr>
        <w:t xml:space="preserve">Caso </w:t>
      </w:r>
      <w:proofErr w:type="spellStart"/>
      <w:r w:rsidRPr="00C874E0">
        <w:rPr>
          <w:i/>
          <w:lang w:val="es-ES"/>
        </w:rPr>
        <w:t>Kawas</w:t>
      </w:r>
      <w:proofErr w:type="spellEnd"/>
      <w:r w:rsidRPr="00C874E0">
        <w:rPr>
          <w:i/>
          <w:lang w:val="es-ES"/>
        </w:rPr>
        <w:t xml:space="preserve"> Fernández </w:t>
      </w:r>
      <w:r w:rsidR="00521C47">
        <w:rPr>
          <w:i/>
          <w:lang w:val="es-ES"/>
        </w:rPr>
        <w:t>c</w:t>
      </w:r>
      <w:r w:rsidRPr="00C874E0">
        <w:rPr>
          <w:i/>
          <w:lang w:val="es-ES"/>
        </w:rPr>
        <w:t>. Honduras</w:t>
      </w:r>
      <w:r w:rsidRPr="00C874E0">
        <w:rPr>
          <w:lang w:val="es-ES"/>
        </w:rPr>
        <w:t>. Fondo, Reparaciones y Costas. Sentencia de 3 de abril de 2009. Serie C No. 196. párr. 148</w:t>
      </w:r>
      <w:r>
        <w:rPr>
          <w:lang w:val="es-ES"/>
        </w:rPr>
        <w:t>.</w:t>
      </w:r>
      <w:r w:rsidR="00B93FE3">
        <w:rPr>
          <w:lang w:val="es-ES"/>
        </w:rPr>
        <w:t xml:space="preserve"> Ver también </w:t>
      </w:r>
      <w:r w:rsidR="00B93FE3" w:rsidRPr="00B93FE3">
        <w:rPr>
          <w:lang w:val="es-ES"/>
        </w:rPr>
        <w:t>Comisión Africana de Derechos Humanos y de los Pueblos</w:t>
      </w:r>
      <w:r w:rsidR="00011ACA">
        <w:rPr>
          <w:lang w:val="es-ES"/>
        </w:rPr>
        <w:t>: Caso</w:t>
      </w:r>
      <w:r w:rsidR="00011ACA" w:rsidRPr="00011ACA">
        <w:rPr>
          <w:lang w:val="es-ES"/>
        </w:rPr>
        <w:t xml:space="preserve"> </w:t>
      </w:r>
      <w:r w:rsidR="00011ACA" w:rsidRPr="00314B3F">
        <w:rPr>
          <w:i/>
          <w:lang w:val="es-ES"/>
        </w:rPr>
        <w:t xml:space="preserve">SERAC </w:t>
      </w:r>
      <w:r w:rsidR="00011ACA">
        <w:rPr>
          <w:i/>
          <w:lang w:val="es-ES"/>
        </w:rPr>
        <w:t>y</w:t>
      </w:r>
      <w:r w:rsidR="00011ACA" w:rsidRPr="00011ACA">
        <w:rPr>
          <w:i/>
          <w:lang w:val="es-ES"/>
        </w:rPr>
        <w:t xml:space="preserve"> CESR c. Nigeria</w:t>
      </w:r>
      <w:r w:rsidR="00011ACA" w:rsidRPr="00011ACA">
        <w:rPr>
          <w:lang w:val="es-ES"/>
        </w:rPr>
        <w:t xml:space="preserve">, comunicación No 155/96, 27 </w:t>
      </w:r>
      <w:r w:rsidR="00011ACA">
        <w:rPr>
          <w:lang w:val="es-ES"/>
        </w:rPr>
        <w:t xml:space="preserve">de </w:t>
      </w:r>
      <w:r w:rsidR="00011ACA" w:rsidRPr="00011ACA">
        <w:rPr>
          <w:lang w:val="es-ES"/>
        </w:rPr>
        <w:t xml:space="preserve">octubre </w:t>
      </w:r>
      <w:r w:rsidR="00011ACA">
        <w:rPr>
          <w:lang w:val="es-ES"/>
        </w:rPr>
        <w:t xml:space="preserve">de </w:t>
      </w:r>
      <w:r w:rsidR="00011ACA" w:rsidRPr="00011ACA">
        <w:rPr>
          <w:lang w:val="es-ES"/>
        </w:rPr>
        <w:t>2001</w:t>
      </w:r>
      <w:r w:rsidR="00011ACA">
        <w:rPr>
          <w:lang w:val="es-ES"/>
        </w:rPr>
        <w:t>, y O</w:t>
      </w:r>
      <w:r w:rsidR="00B93FE3">
        <w:rPr>
          <w:lang w:val="es-ES"/>
        </w:rPr>
        <w:t>bservación general número 3</w:t>
      </w:r>
      <w:r w:rsidR="0002008D">
        <w:rPr>
          <w:lang w:val="es-ES"/>
        </w:rPr>
        <w:t xml:space="preserve">, </w:t>
      </w:r>
      <w:r w:rsidR="0002008D" w:rsidRPr="00314B3F">
        <w:rPr>
          <w:i/>
          <w:lang w:val="es-ES"/>
        </w:rPr>
        <w:t>Derecho a la vida</w:t>
      </w:r>
      <w:r w:rsidR="0002008D">
        <w:rPr>
          <w:lang w:val="es-ES"/>
        </w:rPr>
        <w:t xml:space="preserve"> </w:t>
      </w:r>
      <w:r w:rsidR="0002008D" w:rsidRPr="00314B3F">
        <w:rPr>
          <w:i/>
          <w:lang w:val="es-ES"/>
        </w:rPr>
        <w:t>(artículo 4)</w:t>
      </w:r>
      <w:r w:rsidR="0002008D">
        <w:rPr>
          <w:lang w:val="es-ES"/>
        </w:rPr>
        <w:t xml:space="preserve">, </w:t>
      </w:r>
      <w:r w:rsidR="00B254B7">
        <w:rPr>
          <w:lang w:val="es-ES"/>
        </w:rPr>
        <w:t>noviembre de 2015, párr. 3.</w:t>
      </w:r>
    </w:p>
  </w:footnote>
  <w:footnote w:id="48">
    <w:p w:rsidR="00AA5957" w:rsidRPr="001A709B" w:rsidRDefault="00AA5957" w:rsidP="00AB41CE">
      <w:pPr>
        <w:pStyle w:val="FootnoteText"/>
        <w:jc w:val="both"/>
        <w:rPr>
          <w:lang w:val="es-ES"/>
        </w:rPr>
      </w:pPr>
      <w:r>
        <w:rPr>
          <w:lang w:val="es-ES"/>
        </w:rPr>
        <w:tab/>
      </w:r>
      <w:r w:rsidRPr="001A709B">
        <w:rPr>
          <w:rStyle w:val="FootnoteReference"/>
          <w:lang w:val="es-ES"/>
        </w:rPr>
        <w:footnoteRef/>
      </w:r>
      <w:r>
        <w:rPr>
          <w:lang w:val="es-ES"/>
        </w:rPr>
        <w:tab/>
      </w:r>
      <w:r w:rsidR="00856AEE">
        <w:rPr>
          <w:lang w:val="es-ES"/>
        </w:rPr>
        <w:t>Cf</w:t>
      </w:r>
      <w:r w:rsidR="0097791D">
        <w:rPr>
          <w:lang w:val="es-ES"/>
        </w:rPr>
        <w:t>r</w:t>
      </w:r>
      <w:r w:rsidR="00856AEE">
        <w:rPr>
          <w:lang w:val="es-ES"/>
        </w:rPr>
        <w:t xml:space="preserve">. </w:t>
      </w:r>
      <w:r w:rsidRPr="001A709B">
        <w:rPr>
          <w:lang w:val="es-ES"/>
        </w:rPr>
        <w:t>Tribunal Europeo de Derechos Humanos</w:t>
      </w:r>
      <w:r>
        <w:rPr>
          <w:lang w:val="es-ES"/>
        </w:rPr>
        <w:t xml:space="preserve">, </w:t>
      </w:r>
      <w:r w:rsidRPr="00EB1B19">
        <w:rPr>
          <w:i/>
          <w:lang w:val="es-ES"/>
        </w:rPr>
        <w:t xml:space="preserve">Caso M. </w:t>
      </w:r>
      <w:proofErr w:type="spellStart"/>
      <w:r w:rsidRPr="00EB1B19">
        <w:rPr>
          <w:i/>
          <w:lang w:val="es-ES"/>
        </w:rPr>
        <w:t>Özel</w:t>
      </w:r>
      <w:proofErr w:type="spellEnd"/>
      <w:r w:rsidRPr="00EB1B19">
        <w:rPr>
          <w:i/>
          <w:lang w:val="es-ES"/>
        </w:rPr>
        <w:t xml:space="preserve"> y otros </w:t>
      </w:r>
      <w:r w:rsidR="00521C47">
        <w:rPr>
          <w:i/>
          <w:lang w:val="es-ES"/>
        </w:rPr>
        <w:t>c</w:t>
      </w:r>
      <w:r w:rsidRPr="00EB1B19">
        <w:rPr>
          <w:i/>
          <w:lang w:val="es-ES"/>
        </w:rPr>
        <w:t>. Turquía</w:t>
      </w:r>
      <w:r w:rsidRPr="00EB1B19">
        <w:rPr>
          <w:lang w:val="es-ES"/>
        </w:rPr>
        <w:t xml:space="preserve">. Sentencia de 17 de noviembre de 2015, </w:t>
      </w:r>
      <w:proofErr w:type="spellStart"/>
      <w:r w:rsidRPr="00EB1B19">
        <w:rPr>
          <w:lang w:val="es-ES"/>
        </w:rPr>
        <w:t>párrs</w:t>
      </w:r>
      <w:proofErr w:type="spellEnd"/>
      <w:r w:rsidRPr="00EB1B19">
        <w:rPr>
          <w:lang w:val="es-ES"/>
        </w:rPr>
        <w:t>. 170, 171 y 200</w:t>
      </w:r>
      <w:r>
        <w:rPr>
          <w:lang w:val="es-ES"/>
        </w:rPr>
        <w:t xml:space="preserve">; </w:t>
      </w:r>
      <w:r w:rsidRPr="00AB41CE">
        <w:rPr>
          <w:i/>
          <w:lang w:val="es-ES"/>
        </w:rPr>
        <w:t xml:space="preserve">Caso </w:t>
      </w:r>
      <w:proofErr w:type="spellStart"/>
      <w:r w:rsidRPr="00AB41CE">
        <w:rPr>
          <w:i/>
          <w:lang w:val="es-ES"/>
        </w:rPr>
        <w:t>Budayeva</w:t>
      </w:r>
      <w:proofErr w:type="spellEnd"/>
      <w:r w:rsidRPr="00AB41CE">
        <w:rPr>
          <w:i/>
          <w:lang w:val="es-ES"/>
        </w:rPr>
        <w:t xml:space="preserve"> y otros </w:t>
      </w:r>
      <w:r w:rsidR="00521C47">
        <w:rPr>
          <w:i/>
          <w:lang w:val="es-ES"/>
        </w:rPr>
        <w:t>c</w:t>
      </w:r>
      <w:r w:rsidRPr="00AB41CE">
        <w:rPr>
          <w:i/>
          <w:lang w:val="es-ES"/>
        </w:rPr>
        <w:t>. Rusia</w:t>
      </w:r>
      <w:r w:rsidRPr="00AB41CE">
        <w:rPr>
          <w:lang w:val="es-ES"/>
        </w:rPr>
        <w:t>. Sentencia de 20 de marzo de 2008, párr. 128 a 130, 133 y 159</w:t>
      </w:r>
      <w:r>
        <w:rPr>
          <w:lang w:val="es-ES"/>
        </w:rPr>
        <w:t xml:space="preserve">; </w:t>
      </w:r>
      <w:r w:rsidRPr="00363285">
        <w:rPr>
          <w:lang w:val="es-ES"/>
        </w:rPr>
        <w:t xml:space="preserve">Caso </w:t>
      </w:r>
      <w:proofErr w:type="spellStart"/>
      <w:r w:rsidRPr="00355EAD">
        <w:rPr>
          <w:i/>
          <w:lang w:val="es-ES"/>
        </w:rPr>
        <w:t>Öneryildiz</w:t>
      </w:r>
      <w:proofErr w:type="spellEnd"/>
      <w:r w:rsidRPr="00355EAD">
        <w:rPr>
          <w:i/>
          <w:lang w:val="es-ES"/>
        </w:rPr>
        <w:t xml:space="preserve"> </w:t>
      </w:r>
      <w:r w:rsidR="00521C47">
        <w:rPr>
          <w:i/>
          <w:lang w:val="es-ES"/>
        </w:rPr>
        <w:t>c</w:t>
      </w:r>
      <w:r w:rsidRPr="00355EAD">
        <w:rPr>
          <w:i/>
          <w:lang w:val="es-ES"/>
        </w:rPr>
        <w:t>. Turquía</w:t>
      </w:r>
      <w:r>
        <w:rPr>
          <w:lang w:val="es-ES"/>
        </w:rPr>
        <w:t xml:space="preserve">. </w:t>
      </w:r>
      <w:r w:rsidRPr="00363285">
        <w:rPr>
          <w:lang w:val="es-ES"/>
        </w:rPr>
        <w:t>Sentencia de 30 de noviembre de 2004, párr. 71, 89, 90 y 118</w:t>
      </w:r>
      <w:r>
        <w:rPr>
          <w:lang w:val="es-ES"/>
        </w:rPr>
        <w:t>.</w:t>
      </w:r>
    </w:p>
  </w:footnote>
  <w:footnote w:id="49">
    <w:p w:rsidR="006E1CC5" w:rsidRPr="00AB7927" w:rsidRDefault="00DC68AD">
      <w:pPr>
        <w:pStyle w:val="FootnoteText"/>
        <w:rPr>
          <w:lang w:val="es-ES"/>
        </w:rPr>
      </w:pPr>
      <w:r>
        <w:rPr>
          <w:lang w:val="es-ES"/>
        </w:rPr>
        <w:tab/>
      </w:r>
      <w:r w:rsidR="006E1CC5">
        <w:rPr>
          <w:rStyle w:val="FootnoteReference"/>
        </w:rPr>
        <w:footnoteRef/>
      </w:r>
      <w:r>
        <w:rPr>
          <w:lang w:val="es-ES"/>
        </w:rPr>
        <w:tab/>
      </w:r>
      <w:r w:rsidR="006E1CC5" w:rsidRPr="00AB7927">
        <w:rPr>
          <w:lang w:val="es-ES"/>
        </w:rPr>
        <w:t>Ver nota</w:t>
      </w:r>
      <w:r>
        <w:rPr>
          <w:lang w:val="es-ES"/>
        </w:rPr>
        <w:t>s</w:t>
      </w:r>
      <w:r w:rsidR="006E1CC5" w:rsidRPr="00AB7927">
        <w:rPr>
          <w:lang w:val="es-ES"/>
        </w:rPr>
        <w:t xml:space="preserve"> de pie </w:t>
      </w:r>
      <w:r w:rsidR="002D0041">
        <w:rPr>
          <w:lang w:val="es-ES"/>
        </w:rPr>
        <w:t xml:space="preserve">14, </w:t>
      </w:r>
      <w:r w:rsidR="00D34A17" w:rsidRPr="00390A10">
        <w:rPr>
          <w:lang w:val="es-ES"/>
        </w:rPr>
        <w:t>15, 16, 17, 32, 33 y 34</w:t>
      </w:r>
      <w:r w:rsidR="006E1CC5" w:rsidRPr="00AB7927">
        <w:rPr>
          <w:lang w:val="es-ES"/>
        </w:rPr>
        <w:t>.</w:t>
      </w:r>
    </w:p>
  </w:footnote>
  <w:footnote w:id="50">
    <w:p w:rsidR="00E478B5" w:rsidRPr="0043478A" w:rsidRDefault="00E478B5" w:rsidP="00E478B5">
      <w:pPr>
        <w:pStyle w:val="FootnoteText"/>
        <w:rPr>
          <w:lang w:val="es-ES"/>
        </w:rPr>
      </w:pPr>
      <w:r>
        <w:rPr>
          <w:lang w:val="es-ES"/>
        </w:rPr>
        <w:tab/>
      </w:r>
      <w:r>
        <w:rPr>
          <w:rStyle w:val="FootnoteReference"/>
        </w:rPr>
        <w:footnoteRef/>
      </w:r>
      <w:r>
        <w:rPr>
          <w:lang w:val="es-ES"/>
        </w:rPr>
        <w:tab/>
      </w:r>
      <w:r w:rsidRPr="0043478A">
        <w:rPr>
          <w:lang w:val="es-ES"/>
        </w:rPr>
        <w:t xml:space="preserve">Observación general número 16 (CCPR/C/GC/16), 1998, párr. </w:t>
      </w:r>
      <w:r w:rsidRPr="000C6ACE">
        <w:rPr>
          <w:lang w:val="es-ES"/>
        </w:rPr>
        <w:t>5</w:t>
      </w:r>
      <w:r w:rsidRPr="0043478A">
        <w:rPr>
          <w:lang w:val="es-ES"/>
        </w:rPr>
        <w:t>.</w:t>
      </w:r>
    </w:p>
  </w:footnote>
  <w:footnote w:id="51">
    <w:p w:rsidR="00376391" w:rsidRPr="00376391" w:rsidRDefault="00376391" w:rsidP="00376391">
      <w:pPr>
        <w:pStyle w:val="FootnoteText"/>
        <w:jc w:val="both"/>
        <w:rPr>
          <w:lang w:val="es-ES"/>
        </w:rPr>
      </w:pPr>
      <w:r>
        <w:rPr>
          <w:lang w:val="es-ES"/>
        </w:rPr>
        <w:tab/>
      </w:r>
      <w:r>
        <w:rPr>
          <w:rStyle w:val="FootnoteReference"/>
        </w:rPr>
        <w:footnoteRef/>
      </w:r>
      <w:r>
        <w:rPr>
          <w:lang w:val="es-ES"/>
        </w:rPr>
        <w:tab/>
      </w:r>
      <w:r w:rsidRPr="00F034F5">
        <w:rPr>
          <w:lang w:val="es-ES"/>
        </w:rPr>
        <w:t>Declaración de las Naciones Unidas sobre los Derechos de los Campesinos y de Otras Personas que Trabajan en las Zonas Rurales</w:t>
      </w:r>
      <w:r w:rsidR="00E671F9">
        <w:rPr>
          <w:lang w:val="es-ES"/>
        </w:rPr>
        <w:t>, 2018</w:t>
      </w:r>
      <w:r>
        <w:rPr>
          <w:lang w:val="es-ES"/>
        </w:rPr>
        <w:t>, artículo 1.</w:t>
      </w:r>
    </w:p>
  </w:footnote>
  <w:footnote w:id="52">
    <w:p w:rsidR="00A31A62" w:rsidRPr="0043478A" w:rsidRDefault="00A31A62" w:rsidP="0043478A">
      <w:pPr>
        <w:pStyle w:val="FootnoteText"/>
        <w:jc w:val="both"/>
        <w:rPr>
          <w:lang w:val="es-ES"/>
        </w:rPr>
      </w:pPr>
      <w:r w:rsidRPr="00376391">
        <w:rPr>
          <w:lang w:val="es-ES"/>
        </w:rPr>
        <w:tab/>
      </w:r>
      <w:r>
        <w:rPr>
          <w:rStyle w:val="FootnoteReference"/>
        </w:rPr>
        <w:footnoteRef/>
      </w:r>
      <w:r w:rsidRPr="00376391">
        <w:rPr>
          <w:lang w:val="es-ES"/>
        </w:rPr>
        <w:tab/>
      </w:r>
      <w:r w:rsidR="00C53710">
        <w:rPr>
          <w:lang w:val="es-ES"/>
        </w:rPr>
        <w:t xml:space="preserve">Cfr. </w:t>
      </w:r>
      <w:r w:rsidRPr="00314B3F">
        <w:rPr>
          <w:i/>
          <w:lang w:val="es-ES"/>
        </w:rPr>
        <w:t>Fr</w:t>
      </w:r>
      <w:r w:rsidR="00521C47" w:rsidRPr="00521C47">
        <w:rPr>
          <w:i/>
          <w:lang w:val="es-ES"/>
        </w:rPr>
        <w:t xml:space="preserve">ancis </w:t>
      </w:r>
      <w:proofErr w:type="spellStart"/>
      <w:r w:rsidR="00521C47" w:rsidRPr="00521C47">
        <w:rPr>
          <w:i/>
          <w:lang w:val="es-ES"/>
        </w:rPr>
        <w:t>Hopu</w:t>
      </w:r>
      <w:proofErr w:type="spellEnd"/>
      <w:r w:rsidR="00521C47" w:rsidRPr="00521C47">
        <w:rPr>
          <w:i/>
          <w:lang w:val="es-ES"/>
        </w:rPr>
        <w:t xml:space="preserve"> y </w:t>
      </w:r>
      <w:proofErr w:type="spellStart"/>
      <w:r w:rsidR="00521C47" w:rsidRPr="00521C47">
        <w:rPr>
          <w:i/>
          <w:lang w:val="es-ES"/>
        </w:rPr>
        <w:t>Tepoaitu</w:t>
      </w:r>
      <w:proofErr w:type="spellEnd"/>
      <w:r w:rsidR="00521C47" w:rsidRPr="00521C47">
        <w:rPr>
          <w:i/>
          <w:lang w:val="es-ES"/>
        </w:rPr>
        <w:t xml:space="preserve"> </w:t>
      </w:r>
      <w:proofErr w:type="spellStart"/>
      <w:r w:rsidR="00521C47" w:rsidRPr="00521C47">
        <w:rPr>
          <w:i/>
          <w:lang w:val="es-ES"/>
        </w:rPr>
        <w:t>Bessert</w:t>
      </w:r>
      <w:proofErr w:type="spellEnd"/>
      <w:r w:rsidR="00521C47" w:rsidRPr="00521C47">
        <w:rPr>
          <w:i/>
          <w:lang w:val="es-ES"/>
        </w:rPr>
        <w:t xml:space="preserve"> c</w:t>
      </w:r>
      <w:r w:rsidRPr="00314B3F">
        <w:rPr>
          <w:i/>
          <w:lang w:val="es-ES"/>
        </w:rPr>
        <w:t>. Francia</w:t>
      </w:r>
      <w:r w:rsidRPr="00314B3F">
        <w:rPr>
          <w:lang w:val="es-ES"/>
        </w:rPr>
        <w:t xml:space="preserve"> </w:t>
      </w:r>
      <w:r w:rsidRPr="0043478A">
        <w:rPr>
          <w:lang w:val="es-ES"/>
        </w:rPr>
        <w:t>(</w:t>
      </w:r>
      <w:r w:rsidRPr="00A31A62">
        <w:rPr>
          <w:lang w:val="es-ES"/>
        </w:rPr>
        <w:t>CCPR/C/60/D/549/1993/Rev.1</w:t>
      </w:r>
      <w:r w:rsidRPr="0043478A">
        <w:rPr>
          <w:lang w:val="es-ES"/>
        </w:rPr>
        <w:t xml:space="preserve">) de </w:t>
      </w:r>
      <w:r w:rsidRPr="00A31A62">
        <w:rPr>
          <w:lang w:val="es-ES"/>
        </w:rPr>
        <w:t>29 de diciembre de 1997, párr. 10</w:t>
      </w:r>
      <w:r w:rsidRPr="0043478A">
        <w:rPr>
          <w:lang w:val="es-ES"/>
        </w:rPr>
        <w:t>.3</w:t>
      </w:r>
      <w:r w:rsidR="008C0E9D">
        <w:rPr>
          <w:lang w:val="es-ES"/>
        </w:rPr>
        <w:t>.</w:t>
      </w:r>
    </w:p>
  </w:footnote>
  <w:footnote w:id="53">
    <w:p w:rsidR="00741742" w:rsidRPr="0043478A" w:rsidRDefault="00741742" w:rsidP="0043478A">
      <w:pPr>
        <w:pStyle w:val="FootnoteText"/>
        <w:jc w:val="both"/>
        <w:rPr>
          <w:lang w:val="es-ES"/>
        </w:rPr>
      </w:pPr>
      <w:r>
        <w:rPr>
          <w:lang w:val="es-ES"/>
        </w:rPr>
        <w:tab/>
      </w:r>
      <w:r>
        <w:rPr>
          <w:rStyle w:val="FootnoteReference"/>
        </w:rPr>
        <w:footnoteRef/>
      </w:r>
      <w:r>
        <w:rPr>
          <w:lang w:val="es-ES"/>
        </w:rPr>
        <w:tab/>
      </w:r>
      <w:r w:rsidRPr="00741742">
        <w:rPr>
          <w:lang w:val="es-ES"/>
        </w:rPr>
        <w:t>Observación general número 16</w:t>
      </w:r>
      <w:r w:rsidR="003053F4">
        <w:rPr>
          <w:lang w:val="es-ES"/>
        </w:rPr>
        <w:t>,</w:t>
      </w:r>
      <w:r w:rsidRPr="0043478A">
        <w:rPr>
          <w:lang w:val="es-ES"/>
        </w:rPr>
        <w:t xml:space="preserve"> </w:t>
      </w:r>
      <w:proofErr w:type="spellStart"/>
      <w:r w:rsidR="008D7571" w:rsidRPr="00314B3F">
        <w:rPr>
          <w:i/>
          <w:lang w:val="es-ES"/>
        </w:rPr>
        <w:t>op</w:t>
      </w:r>
      <w:proofErr w:type="spellEnd"/>
      <w:r w:rsidR="008D7571" w:rsidRPr="00314B3F">
        <w:rPr>
          <w:i/>
          <w:lang w:val="es-ES"/>
        </w:rPr>
        <w:t>. cit</w:t>
      </w:r>
      <w:r w:rsidR="008D7571">
        <w:rPr>
          <w:lang w:val="es-ES"/>
        </w:rPr>
        <w:t xml:space="preserve">., </w:t>
      </w:r>
      <w:r w:rsidRPr="0043478A">
        <w:rPr>
          <w:lang w:val="es-ES"/>
        </w:rPr>
        <w:t xml:space="preserve">párr. </w:t>
      </w:r>
      <w:r w:rsidR="00776182" w:rsidRPr="00776182">
        <w:rPr>
          <w:lang w:val="es-ES"/>
        </w:rPr>
        <w:t>1</w:t>
      </w:r>
      <w:r w:rsidR="003053F4">
        <w:rPr>
          <w:lang w:val="es-ES"/>
        </w:rPr>
        <w:t>.</w:t>
      </w:r>
      <w:r w:rsidR="0074737F">
        <w:rPr>
          <w:lang w:val="es-ES"/>
        </w:rPr>
        <w:t xml:space="preserve"> Ver también</w:t>
      </w:r>
      <w:r w:rsidR="0074737F" w:rsidRPr="0074737F">
        <w:rPr>
          <w:lang w:val="es-ES"/>
        </w:rPr>
        <w:t xml:space="preserve"> </w:t>
      </w:r>
      <w:r w:rsidR="008D7571">
        <w:rPr>
          <w:lang w:val="es-ES"/>
        </w:rPr>
        <w:t>TEDH</w:t>
      </w:r>
      <w:r w:rsidR="0074737F">
        <w:rPr>
          <w:lang w:val="es-ES"/>
        </w:rPr>
        <w:t xml:space="preserve">, </w:t>
      </w:r>
      <w:r w:rsidR="00521C47">
        <w:rPr>
          <w:i/>
          <w:lang w:val="es-ES"/>
        </w:rPr>
        <w:t xml:space="preserve">Caso </w:t>
      </w:r>
      <w:proofErr w:type="spellStart"/>
      <w:r w:rsidR="00521C47">
        <w:rPr>
          <w:i/>
          <w:lang w:val="es-ES"/>
        </w:rPr>
        <w:t>Cordella</w:t>
      </w:r>
      <w:proofErr w:type="spellEnd"/>
      <w:r w:rsidR="00521C47">
        <w:rPr>
          <w:i/>
          <w:lang w:val="es-ES"/>
        </w:rPr>
        <w:t xml:space="preserve"> y otros c</w:t>
      </w:r>
      <w:r w:rsidR="0074737F" w:rsidRPr="00C7470F">
        <w:rPr>
          <w:i/>
          <w:lang w:val="es-ES"/>
        </w:rPr>
        <w:t>. Italia</w:t>
      </w:r>
      <w:r w:rsidR="0074737F" w:rsidRPr="007D1931">
        <w:rPr>
          <w:lang w:val="es-ES"/>
        </w:rPr>
        <w:t>. Sentencia de 24 de enero de 2019, párr.</w:t>
      </w:r>
      <w:r w:rsidR="0074737F">
        <w:rPr>
          <w:lang w:val="es-ES"/>
        </w:rPr>
        <w:t xml:space="preserve"> 158.</w:t>
      </w:r>
    </w:p>
  </w:footnote>
  <w:footnote w:id="54">
    <w:p w:rsidR="00AA5957" w:rsidRPr="001636A4" w:rsidRDefault="00AA5957" w:rsidP="001636A4">
      <w:pPr>
        <w:pStyle w:val="FootnoteText"/>
        <w:jc w:val="both"/>
        <w:rPr>
          <w:lang w:val="es-ES"/>
        </w:rPr>
      </w:pPr>
      <w:r w:rsidRPr="001636A4">
        <w:rPr>
          <w:lang w:val="es-ES"/>
        </w:rPr>
        <w:tab/>
      </w:r>
      <w:r w:rsidRPr="001636A4">
        <w:rPr>
          <w:rStyle w:val="FootnoteReference"/>
          <w:lang w:val="es-ES"/>
        </w:rPr>
        <w:footnoteRef/>
      </w:r>
      <w:r w:rsidRPr="001636A4">
        <w:rPr>
          <w:lang w:val="es-ES"/>
        </w:rPr>
        <w:tab/>
      </w:r>
      <w:r w:rsidR="00082368">
        <w:rPr>
          <w:lang w:val="es-ES"/>
        </w:rPr>
        <w:t xml:space="preserve">Cfr. </w:t>
      </w:r>
      <w:r w:rsidR="00D046AA">
        <w:rPr>
          <w:lang w:val="es-ES"/>
        </w:rPr>
        <w:t>TEDH</w:t>
      </w:r>
      <w:r w:rsidRPr="001636A4">
        <w:rPr>
          <w:lang w:val="es-ES"/>
        </w:rPr>
        <w:t xml:space="preserve">, </w:t>
      </w:r>
      <w:r w:rsidR="001E3E5C" w:rsidRPr="001636A4">
        <w:rPr>
          <w:i/>
          <w:lang w:val="es-ES"/>
        </w:rPr>
        <w:t xml:space="preserve">Caso López Ostra </w:t>
      </w:r>
      <w:r w:rsidR="00521C47">
        <w:rPr>
          <w:i/>
          <w:lang w:val="es-ES"/>
        </w:rPr>
        <w:t>c</w:t>
      </w:r>
      <w:r w:rsidR="001E3E5C" w:rsidRPr="001636A4">
        <w:rPr>
          <w:i/>
          <w:lang w:val="es-ES"/>
        </w:rPr>
        <w:t>. España</w:t>
      </w:r>
      <w:r w:rsidR="001E3E5C" w:rsidRPr="001636A4">
        <w:rPr>
          <w:lang w:val="es-ES"/>
        </w:rPr>
        <w:t>. Sentencia de 9 de diciembre de 1994, párr. 51, 55 y 58</w:t>
      </w:r>
      <w:r w:rsidR="001E3E5C">
        <w:rPr>
          <w:lang w:val="es-ES"/>
        </w:rPr>
        <w:t>;</w:t>
      </w:r>
      <w:r w:rsidR="001E3E5C" w:rsidRPr="001636A4">
        <w:rPr>
          <w:i/>
          <w:lang w:val="es-ES"/>
        </w:rPr>
        <w:t xml:space="preserve"> </w:t>
      </w:r>
      <w:r w:rsidRPr="001636A4">
        <w:rPr>
          <w:i/>
          <w:lang w:val="es-ES"/>
        </w:rPr>
        <w:t xml:space="preserve">Caso </w:t>
      </w:r>
      <w:proofErr w:type="spellStart"/>
      <w:r w:rsidRPr="001636A4">
        <w:rPr>
          <w:i/>
          <w:lang w:val="es-ES"/>
        </w:rPr>
        <w:t>Fadeyeva</w:t>
      </w:r>
      <w:proofErr w:type="spellEnd"/>
      <w:r w:rsidRPr="001636A4">
        <w:rPr>
          <w:i/>
          <w:lang w:val="es-ES"/>
        </w:rPr>
        <w:t xml:space="preserve"> </w:t>
      </w:r>
      <w:r w:rsidR="00521C47">
        <w:rPr>
          <w:i/>
          <w:lang w:val="es-ES"/>
        </w:rPr>
        <w:t>c</w:t>
      </w:r>
      <w:r w:rsidRPr="001636A4">
        <w:rPr>
          <w:i/>
          <w:lang w:val="es-ES"/>
        </w:rPr>
        <w:t>. Rusia</w:t>
      </w:r>
      <w:r w:rsidRPr="001636A4">
        <w:rPr>
          <w:lang w:val="es-ES"/>
        </w:rPr>
        <w:t>. Sentencia de 9 de junio de 2005, párr. 68 a 70. 89, 92 y 134</w:t>
      </w:r>
      <w:r w:rsidR="000D5013">
        <w:rPr>
          <w:lang w:val="es-ES"/>
        </w:rPr>
        <w:t xml:space="preserve">; </w:t>
      </w:r>
      <w:r w:rsidR="00521C47" w:rsidRPr="00521C47">
        <w:rPr>
          <w:i/>
          <w:lang w:val="es-ES"/>
        </w:rPr>
        <w:t xml:space="preserve">Caso </w:t>
      </w:r>
      <w:proofErr w:type="spellStart"/>
      <w:r w:rsidR="00521C47" w:rsidRPr="00521C47">
        <w:rPr>
          <w:i/>
          <w:lang w:val="es-ES"/>
        </w:rPr>
        <w:t>Cordella</w:t>
      </w:r>
      <w:proofErr w:type="spellEnd"/>
      <w:r w:rsidR="00521C47" w:rsidRPr="00521C47">
        <w:rPr>
          <w:i/>
          <w:lang w:val="es-ES"/>
        </w:rPr>
        <w:t xml:space="preserve"> y otros c</w:t>
      </w:r>
      <w:r w:rsidR="000D5013" w:rsidRPr="00314B3F">
        <w:rPr>
          <w:i/>
          <w:lang w:val="es-ES"/>
        </w:rPr>
        <w:t>. Italia</w:t>
      </w:r>
      <w:r w:rsidR="000D5013">
        <w:rPr>
          <w:lang w:val="es-ES"/>
        </w:rPr>
        <w:t xml:space="preserve">. </w:t>
      </w:r>
      <w:proofErr w:type="spellStart"/>
      <w:r w:rsidR="008D7571" w:rsidRPr="008D7571">
        <w:rPr>
          <w:i/>
          <w:lang w:val="es-ES"/>
        </w:rPr>
        <w:t>o</w:t>
      </w:r>
      <w:r w:rsidR="008D7571" w:rsidRPr="00314B3F">
        <w:rPr>
          <w:i/>
          <w:lang w:val="es-ES"/>
        </w:rPr>
        <w:t>p</w:t>
      </w:r>
      <w:proofErr w:type="spellEnd"/>
      <w:r w:rsidR="008D7571" w:rsidRPr="00314B3F">
        <w:rPr>
          <w:i/>
          <w:lang w:val="es-ES"/>
        </w:rPr>
        <w:t xml:space="preserve">. </w:t>
      </w:r>
      <w:r w:rsidR="0031570D" w:rsidRPr="008D7571">
        <w:rPr>
          <w:i/>
          <w:lang w:val="es-ES"/>
        </w:rPr>
        <w:t>cit</w:t>
      </w:r>
      <w:r w:rsidR="0031570D">
        <w:rPr>
          <w:lang w:val="es-ES"/>
        </w:rPr>
        <w:t>.,</w:t>
      </w:r>
      <w:r w:rsidR="00D67BFA">
        <w:rPr>
          <w:lang w:val="es-ES"/>
        </w:rPr>
        <w:t xml:space="preserve"> párr.</w:t>
      </w:r>
      <w:r w:rsidR="00030213">
        <w:rPr>
          <w:lang w:val="es-ES"/>
        </w:rPr>
        <w:t xml:space="preserve"> 173 y 174</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957" w:rsidRPr="00CC42A9" w:rsidRDefault="00AA5957" w:rsidP="006A31AE">
    <w:pPr>
      <w:pStyle w:val="Header"/>
      <w:rPr>
        <w:lang w:val="es-ES"/>
      </w:rPr>
    </w:pPr>
    <w:r w:rsidRPr="00CC42A9">
      <w:rPr>
        <w:lang w:val="es-ES"/>
      </w:rPr>
      <w:t>CCPR/C/126/D/2751/2016</w:t>
    </w:r>
    <w:r w:rsidR="001D5C51" w:rsidRPr="00CC42A9">
      <w:rPr>
        <w:lang w:val="es-ES"/>
      </w:rPr>
      <w:t xml:space="preserve"> </w:t>
    </w:r>
    <w:r w:rsidR="005C67D9" w:rsidRPr="00CC42A9">
      <w:rPr>
        <w:lang w:val="es-ES"/>
      </w:rPr>
      <w:t>Edición avanzada sin editar</w:t>
    </w:r>
    <w:r w:rsidR="005C67D9" w:rsidRPr="00CC42A9" w:rsidDel="005C67D9">
      <w:rPr>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957" w:rsidRPr="00CC42A9" w:rsidRDefault="005C67D9" w:rsidP="006A31AE">
    <w:pPr>
      <w:pStyle w:val="Header"/>
      <w:jc w:val="right"/>
      <w:rPr>
        <w:lang w:val="es-ES"/>
      </w:rPr>
    </w:pPr>
    <w:r w:rsidRPr="00CC42A9">
      <w:rPr>
        <w:lang w:val="es-ES"/>
      </w:rPr>
      <w:t>Edición avanzada sin editar</w:t>
    </w:r>
    <w:r w:rsidRPr="00CC42A9" w:rsidDel="005C67D9">
      <w:rPr>
        <w:lang w:val="es-ES"/>
      </w:rPr>
      <w:t xml:space="preserve"> </w:t>
    </w:r>
    <w:r w:rsidR="00AA5957" w:rsidRPr="00CC42A9">
      <w:rPr>
        <w:lang w:val="es-ES"/>
      </w:rPr>
      <w:t>CCPR/C/126/D/2751/2016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AF395C"/>
    <w:multiLevelType w:val="multilevel"/>
    <w:tmpl w:val="6C8CD312"/>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 w15:restartNumberingAfterBreak="0">
    <w:nsid w:val="10537B40"/>
    <w:multiLevelType w:val="hybridMultilevel"/>
    <w:tmpl w:val="0B087798"/>
    <w:lvl w:ilvl="0" w:tplc="25CC75AE">
      <w:numFmt w:val="bullet"/>
      <w:lvlText w:val="-"/>
      <w:lvlJc w:val="left"/>
      <w:pPr>
        <w:ind w:left="1494" w:hanging="360"/>
      </w:pPr>
      <w:rPr>
        <w:rFonts w:ascii="Times New Roman" w:eastAsia="SimSu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97932"/>
    <w:multiLevelType w:val="multilevel"/>
    <w:tmpl w:val="9CFCDF88"/>
    <w:lvl w:ilvl="0">
      <w:start w:val="3"/>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6" w15:restartNumberingAfterBreak="0">
    <w:nsid w:val="2F9C3547"/>
    <w:multiLevelType w:val="multilevel"/>
    <w:tmpl w:val="647ECD68"/>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BE2B7D"/>
    <w:multiLevelType w:val="hybridMultilevel"/>
    <w:tmpl w:val="71960FEE"/>
    <w:lvl w:ilvl="0" w:tplc="CD280E22">
      <w:start w:val="2"/>
      <w:numFmt w:val="bullet"/>
      <w:lvlText w:val="-"/>
      <w:lvlJc w:val="left"/>
      <w:pPr>
        <w:ind w:left="1494" w:hanging="360"/>
      </w:pPr>
      <w:rPr>
        <w:rFonts w:ascii="Times New Roman" w:eastAsia="SimSun" w:hAnsi="Times New Roman" w:cs="Times New Roman" w:hint="default"/>
      </w:rPr>
    </w:lvl>
    <w:lvl w:ilvl="1" w:tplc="040C0003">
      <w:start w:val="1"/>
      <w:numFmt w:val="bullet"/>
      <w:lvlText w:val="o"/>
      <w:lvlJc w:val="left"/>
      <w:pPr>
        <w:ind w:left="2214" w:hanging="360"/>
      </w:pPr>
      <w:rPr>
        <w:rFonts w:ascii="Courier New" w:hAnsi="Courier New" w:cs="Courier New" w:hint="default"/>
      </w:rPr>
    </w:lvl>
    <w:lvl w:ilvl="2" w:tplc="040C0005">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7DE0E19"/>
    <w:multiLevelType w:val="hybridMultilevel"/>
    <w:tmpl w:val="D638D63C"/>
    <w:lvl w:ilvl="0" w:tplc="848C667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7D0D93"/>
    <w:multiLevelType w:val="multilevel"/>
    <w:tmpl w:val="05F61200"/>
    <w:lvl w:ilvl="0">
      <w:start w:val="3"/>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15:restartNumberingAfterBreak="0">
    <w:nsid w:val="6EE477B3"/>
    <w:multiLevelType w:val="multilevel"/>
    <w:tmpl w:val="C7B02A0A"/>
    <w:lvl w:ilvl="0">
      <w:start w:val="3"/>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4"/>
  </w:num>
  <w:num w:numId="3">
    <w:abstractNumId w:val="0"/>
  </w:num>
  <w:num w:numId="4">
    <w:abstractNumId w:val="9"/>
  </w:num>
  <w:num w:numId="5">
    <w:abstractNumId w:val="10"/>
  </w:num>
  <w:num w:numId="6">
    <w:abstractNumId w:val="14"/>
  </w:num>
  <w:num w:numId="7">
    <w:abstractNumId w:val="3"/>
  </w:num>
  <w:num w:numId="8">
    <w:abstractNumId w:val="11"/>
  </w:num>
  <w:num w:numId="9">
    <w:abstractNumId w:val="2"/>
  </w:num>
  <w:num w:numId="10">
    <w:abstractNumId w:val="8"/>
  </w:num>
  <w:num w:numId="11">
    <w:abstractNumId w:val="12"/>
  </w:num>
  <w:num w:numId="12">
    <w:abstractNumId w:val="13"/>
  </w:num>
  <w:num w:numId="13">
    <w:abstractNumId w:val="5"/>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fr-FR" w:vendorID="64" w:dllVersion="131078" w:nlCheck="1" w:checkStyle="0"/>
  <w:proofState w:spelling="clean" w:grammar="clean"/>
  <w:trackRevisions/>
  <w:defaultTabStop w:val="567"/>
  <w:hyphenationZone w:val="425"/>
  <w:evenAndOddHeaders/>
  <w:characterSpacingControl w:val="doNotCompress"/>
  <w:hdrShapeDefaults>
    <o:shapedefaults v:ext="edit" spidmax="614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10"/>
    <w:rsid w:val="00001C7C"/>
    <w:rsid w:val="0000200E"/>
    <w:rsid w:val="00002271"/>
    <w:rsid w:val="0000254F"/>
    <w:rsid w:val="00002EE8"/>
    <w:rsid w:val="000036BF"/>
    <w:rsid w:val="000045FD"/>
    <w:rsid w:val="00004D5C"/>
    <w:rsid w:val="00004ECE"/>
    <w:rsid w:val="00005F6D"/>
    <w:rsid w:val="00005FCE"/>
    <w:rsid w:val="00006C3A"/>
    <w:rsid w:val="000071B2"/>
    <w:rsid w:val="00007559"/>
    <w:rsid w:val="0000793D"/>
    <w:rsid w:val="0000794F"/>
    <w:rsid w:val="00011ACA"/>
    <w:rsid w:val="0001276F"/>
    <w:rsid w:val="00012F9E"/>
    <w:rsid w:val="000132B3"/>
    <w:rsid w:val="000135E6"/>
    <w:rsid w:val="00014522"/>
    <w:rsid w:val="000153A9"/>
    <w:rsid w:val="00015773"/>
    <w:rsid w:val="000158F1"/>
    <w:rsid w:val="00015D00"/>
    <w:rsid w:val="00015FA2"/>
    <w:rsid w:val="00016CD8"/>
    <w:rsid w:val="0001700A"/>
    <w:rsid w:val="000170F4"/>
    <w:rsid w:val="00017187"/>
    <w:rsid w:val="00017691"/>
    <w:rsid w:val="0002008D"/>
    <w:rsid w:val="000203E2"/>
    <w:rsid w:val="000203F9"/>
    <w:rsid w:val="00021B64"/>
    <w:rsid w:val="00022206"/>
    <w:rsid w:val="00022411"/>
    <w:rsid w:val="00022E3E"/>
    <w:rsid w:val="00023008"/>
    <w:rsid w:val="000233AA"/>
    <w:rsid w:val="000238CC"/>
    <w:rsid w:val="00023A6D"/>
    <w:rsid w:val="00024A1B"/>
    <w:rsid w:val="00024E11"/>
    <w:rsid w:val="00024F11"/>
    <w:rsid w:val="00024F99"/>
    <w:rsid w:val="00025907"/>
    <w:rsid w:val="00025A87"/>
    <w:rsid w:val="00025B8E"/>
    <w:rsid w:val="0002643B"/>
    <w:rsid w:val="00026686"/>
    <w:rsid w:val="00026720"/>
    <w:rsid w:val="00026DE3"/>
    <w:rsid w:val="00027074"/>
    <w:rsid w:val="0002788D"/>
    <w:rsid w:val="00030035"/>
    <w:rsid w:val="00030213"/>
    <w:rsid w:val="00030866"/>
    <w:rsid w:val="00030FE5"/>
    <w:rsid w:val="00031010"/>
    <w:rsid w:val="000310F6"/>
    <w:rsid w:val="00031369"/>
    <w:rsid w:val="00031586"/>
    <w:rsid w:val="00031DA2"/>
    <w:rsid w:val="0003208A"/>
    <w:rsid w:val="00033A5B"/>
    <w:rsid w:val="000340A1"/>
    <w:rsid w:val="000343BA"/>
    <w:rsid w:val="000345AF"/>
    <w:rsid w:val="00034661"/>
    <w:rsid w:val="00034D8C"/>
    <w:rsid w:val="0003517E"/>
    <w:rsid w:val="00035ABE"/>
    <w:rsid w:val="0003618D"/>
    <w:rsid w:val="00036BBD"/>
    <w:rsid w:val="00037728"/>
    <w:rsid w:val="000378BF"/>
    <w:rsid w:val="00037AFC"/>
    <w:rsid w:val="00037C71"/>
    <w:rsid w:val="00037C77"/>
    <w:rsid w:val="0004036D"/>
    <w:rsid w:val="0004068E"/>
    <w:rsid w:val="00040BA7"/>
    <w:rsid w:val="000412BB"/>
    <w:rsid w:val="000419FF"/>
    <w:rsid w:val="00042380"/>
    <w:rsid w:val="0004254F"/>
    <w:rsid w:val="00042F1C"/>
    <w:rsid w:val="000438CD"/>
    <w:rsid w:val="00043A06"/>
    <w:rsid w:val="000440E7"/>
    <w:rsid w:val="00045ECB"/>
    <w:rsid w:val="000463A4"/>
    <w:rsid w:val="000463C5"/>
    <w:rsid w:val="000463E0"/>
    <w:rsid w:val="00046582"/>
    <w:rsid w:val="0004688B"/>
    <w:rsid w:val="00046961"/>
    <w:rsid w:val="00046E92"/>
    <w:rsid w:val="00046FA7"/>
    <w:rsid w:val="000470B6"/>
    <w:rsid w:val="000479ED"/>
    <w:rsid w:val="00047F56"/>
    <w:rsid w:val="000507DE"/>
    <w:rsid w:val="000507ED"/>
    <w:rsid w:val="00050B9B"/>
    <w:rsid w:val="00050BB6"/>
    <w:rsid w:val="00050C06"/>
    <w:rsid w:val="00050EE3"/>
    <w:rsid w:val="000515FB"/>
    <w:rsid w:val="00051AEB"/>
    <w:rsid w:val="00051EE3"/>
    <w:rsid w:val="00052467"/>
    <w:rsid w:val="000526D3"/>
    <w:rsid w:val="00052A2D"/>
    <w:rsid w:val="00053198"/>
    <w:rsid w:val="00053289"/>
    <w:rsid w:val="00053D04"/>
    <w:rsid w:val="00054434"/>
    <w:rsid w:val="00054730"/>
    <w:rsid w:val="00054A02"/>
    <w:rsid w:val="000551FF"/>
    <w:rsid w:val="00056763"/>
    <w:rsid w:val="00056920"/>
    <w:rsid w:val="000573C4"/>
    <w:rsid w:val="00057B67"/>
    <w:rsid w:val="000603F9"/>
    <w:rsid w:val="00060735"/>
    <w:rsid w:val="000607A6"/>
    <w:rsid w:val="00061604"/>
    <w:rsid w:val="000618DC"/>
    <w:rsid w:val="00061F37"/>
    <w:rsid w:val="00062C81"/>
    <w:rsid w:val="00062ED9"/>
    <w:rsid w:val="00062FA6"/>
    <w:rsid w:val="000635F3"/>
    <w:rsid w:val="000637C9"/>
    <w:rsid w:val="00063907"/>
    <w:rsid w:val="000641C0"/>
    <w:rsid w:val="000648FC"/>
    <w:rsid w:val="0006523D"/>
    <w:rsid w:val="000654C0"/>
    <w:rsid w:val="0006570C"/>
    <w:rsid w:val="00065AA5"/>
    <w:rsid w:val="00065FFD"/>
    <w:rsid w:val="00066863"/>
    <w:rsid w:val="00066AB3"/>
    <w:rsid w:val="00066C53"/>
    <w:rsid w:val="0006754C"/>
    <w:rsid w:val="00067583"/>
    <w:rsid w:val="000677A3"/>
    <w:rsid w:val="00067E6C"/>
    <w:rsid w:val="000704DC"/>
    <w:rsid w:val="00070922"/>
    <w:rsid w:val="00071360"/>
    <w:rsid w:val="00071389"/>
    <w:rsid w:val="00071C94"/>
    <w:rsid w:val="00071F9A"/>
    <w:rsid w:val="0007227A"/>
    <w:rsid w:val="00072C84"/>
    <w:rsid w:val="00072D08"/>
    <w:rsid w:val="00072F62"/>
    <w:rsid w:val="00073A1F"/>
    <w:rsid w:val="00075A87"/>
    <w:rsid w:val="00076109"/>
    <w:rsid w:val="000765B7"/>
    <w:rsid w:val="00076B5B"/>
    <w:rsid w:val="00076C49"/>
    <w:rsid w:val="00076F2E"/>
    <w:rsid w:val="00077180"/>
    <w:rsid w:val="0007741F"/>
    <w:rsid w:val="00077611"/>
    <w:rsid w:val="00077B89"/>
    <w:rsid w:val="000818E7"/>
    <w:rsid w:val="00081F5F"/>
    <w:rsid w:val="00082195"/>
    <w:rsid w:val="00082368"/>
    <w:rsid w:val="00082434"/>
    <w:rsid w:val="00082A1E"/>
    <w:rsid w:val="00082ED8"/>
    <w:rsid w:val="00083082"/>
    <w:rsid w:val="00083121"/>
    <w:rsid w:val="00083177"/>
    <w:rsid w:val="000833F3"/>
    <w:rsid w:val="00083E34"/>
    <w:rsid w:val="000840DA"/>
    <w:rsid w:val="000843D2"/>
    <w:rsid w:val="00084411"/>
    <w:rsid w:val="00085402"/>
    <w:rsid w:val="00086501"/>
    <w:rsid w:val="00086693"/>
    <w:rsid w:val="00086F42"/>
    <w:rsid w:val="0008731B"/>
    <w:rsid w:val="000874E4"/>
    <w:rsid w:val="00087B75"/>
    <w:rsid w:val="000900B5"/>
    <w:rsid w:val="000900F5"/>
    <w:rsid w:val="000908C8"/>
    <w:rsid w:val="00090AC2"/>
    <w:rsid w:val="0009110C"/>
    <w:rsid w:val="00091BA6"/>
    <w:rsid w:val="00091BD9"/>
    <w:rsid w:val="000936D7"/>
    <w:rsid w:val="00093D87"/>
    <w:rsid w:val="00094067"/>
    <w:rsid w:val="00094134"/>
    <w:rsid w:val="00094CC6"/>
    <w:rsid w:val="00094E37"/>
    <w:rsid w:val="00094E9E"/>
    <w:rsid w:val="00095492"/>
    <w:rsid w:val="00095537"/>
    <w:rsid w:val="000955C1"/>
    <w:rsid w:val="00095626"/>
    <w:rsid w:val="0009568E"/>
    <w:rsid w:val="00095B2D"/>
    <w:rsid w:val="0009611C"/>
    <w:rsid w:val="0009611E"/>
    <w:rsid w:val="000961F9"/>
    <w:rsid w:val="00096473"/>
    <w:rsid w:val="00096620"/>
    <w:rsid w:val="00096CD8"/>
    <w:rsid w:val="00097F79"/>
    <w:rsid w:val="000A0052"/>
    <w:rsid w:val="000A00AC"/>
    <w:rsid w:val="000A01D2"/>
    <w:rsid w:val="000A0AE9"/>
    <w:rsid w:val="000A0E37"/>
    <w:rsid w:val="000A14EE"/>
    <w:rsid w:val="000A1593"/>
    <w:rsid w:val="000A1A07"/>
    <w:rsid w:val="000A1FF3"/>
    <w:rsid w:val="000A27BD"/>
    <w:rsid w:val="000A30EE"/>
    <w:rsid w:val="000A3B6E"/>
    <w:rsid w:val="000A3BC9"/>
    <w:rsid w:val="000A4862"/>
    <w:rsid w:val="000A50B4"/>
    <w:rsid w:val="000A5194"/>
    <w:rsid w:val="000A52BE"/>
    <w:rsid w:val="000A6439"/>
    <w:rsid w:val="000A682B"/>
    <w:rsid w:val="000A71C0"/>
    <w:rsid w:val="000A72F2"/>
    <w:rsid w:val="000B1614"/>
    <w:rsid w:val="000B16D2"/>
    <w:rsid w:val="000B23E2"/>
    <w:rsid w:val="000B278C"/>
    <w:rsid w:val="000B2C1F"/>
    <w:rsid w:val="000B323F"/>
    <w:rsid w:val="000B33CD"/>
    <w:rsid w:val="000B38F4"/>
    <w:rsid w:val="000B3B7C"/>
    <w:rsid w:val="000B3EA7"/>
    <w:rsid w:val="000B474D"/>
    <w:rsid w:val="000B4BF6"/>
    <w:rsid w:val="000B5BAF"/>
    <w:rsid w:val="000B5CD1"/>
    <w:rsid w:val="000B5F9D"/>
    <w:rsid w:val="000B61FD"/>
    <w:rsid w:val="000B6389"/>
    <w:rsid w:val="000B647D"/>
    <w:rsid w:val="000B68B7"/>
    <w:rsid w:val="000B6904"/>
    <w:rsid w:val="000B695D"/>
    <w:rsid w:val="000B73F7"/>
    <w:rsid w:val="000B7433"/>
    <w:rsid w:val="000B75A5"/>
    <w:rsid w:val="000B7678"/>
    <w:rsid w:val="000B778C"/>
    <w:rsid w:val="000B7964"/>
    <w:rsid w:val="000B7CAC"/>
    <w:rsid w:val="000B7FDA"/>
    <w:rsid w:val="000C0C3E"/>
    <w:rsid w:val="000C0D94"/>
    <w:rsid w:val="000C133E"/>
    <w:rsid w:val="000C13C1"/>
    <w:rsid w:val="000C1866"/>
    <w:rsid w:val="000C1D18"/>
    <w:rsid w:val="000C2157"/>
    <w:rsid w:val="000C2A27"/>
    <w:rsid w:val="000C30CC"/>
    <w:rsid w:val="000C3719"/>
    <w:rsid w:val="000C394E"/>
    <w:rsid w:val="000C3BA7"/>
    <w:rsid w:val="000C3F2F"/>
    <w:rsid w:val="000C50F9"/>
    <w:rsid w:val="000C5133"/>
    <w:rsid w:val="000C51F9"/>
    <w:rsid w:val="000C5356"/>
    <w:rsid w:val="000C5B18"/>
    <w:rsid w:val="000C5E0C"/>
    <w:rsid w:val="000C62E5"/>
    <w:rsid w:val="000C6ACE"/>
    <w:rsid w:val="000C6D7D"/>
    <w:rsid w:val="000C7201"/>
    <w:rsid w:val="000C7386"/>
    <w:rsid w:val="000C7AB8"/>
    <w:rsid w:val="000C7E18"/>
    <w:rsid w:val="000D000F"/>
    <w:rsid w:val="000D0579"/>
    <w:rsid w:val="000D083B"/>
    <w:rsid w:val="000D0B21"/>
    <w:rsid w:val="000D12DA"/>
    <w:rsid w:val="000D12F6"/>
    <w:rsid w:val="000D1D2D"/>
    <w:rsid w:val="000D2556"/>
    <w:rsid w:val="000D2821"/>
    <w:rsid w:val="000D3883"/>
    <w:rsid w:val="000D3B9E"/>
    <w:rsid w:val="000D4140"/>
    <w:rsid w:val="000D4558"/>
    <w:rsid w:val="000D471F"/>
    <w:rsid w:val="000D49F2"/>
    <w:rsid w:val="000D5013"/>
    <w:rsid w:val="000D528A"/>
    <w:rsid w:val="000D61F9"/>
    <w:rsid w:val="000D6317"/>
    <w:rsid w:val="000D7494"/>
    <w:rsid w:val="000D762C"/>
    <w:rsid w:val="000D7D92"/>
    <w:rsid w:val="000E02A6"/>
    <w:rsid w:val="000E09DF"/>
    <w:rsid w:val="000E0B5D"/>
    <w:rsid w:val="000E0B78"/>
    <w:rsid w:val="000E10CF"/>
    <w:rsid w:val="000E2206"/>
    <w:rsid w:val="000E299F"/>
    <w:rsid w:val="000E3191"/>
    <w:rsid w:val="000E372B"/>
    <w:rsid w:val="000E37A1"/>
    <w:rsid w:val="000E4359"/>
    <w:rsid w:val="000E48C0"/>
    <w:rsid w:val="000E4C37"/>
    <w:rsid w:val="000E563D"/>
    <w:rsid w:val="000E6B10"/>
    <w:rsid w:val="000E6BF2"/>
    <w:rsid w:val="000E6D5B"/>
    <w:rsid w:val="000E6FF4"/>
    <w:rsid w:val="000E79A1"/>
    <w:rsid w:val="000F00DE"/>
    <w:rsid w:val="000F0805"/>
    <w:rsid w:val="000F0A92"/>
    <w:rsid w:val="000F100E"/>
    <w:rsid w:val="000F149C"/>
    <w:rsid w:val="000F197F"/>
    <w:rsid w:val="000F19A4"/>
    <w:rsid w:val="000F1D75"/>
    <w:rsid w:val="000F2D5E"/>
    <w:rsid w:val="000F2EE3"/>
    <w:rsid w:val="000F3489"/>
    <w:rsid w:val="000F46FA"/>
    <w:rsid w:val="000F494A"/>
    <w:rsid w:val="000F4C79"/>
    <w:rsid w:val="000F4E64"/>
    <w:rsid w:val="000F4FDA"/>
    <w:rsid w:val="000F5558"/>
    <w:rsid w:val="000F5E2D"/>
    <w:rsid w:val="000F63C1"/>
    <w:rsid w:val="000F6642"/>
    <w:rsid w:val="000F76B9"/>
    <w:rsid w:val="000F7BDC"/>
    <w:rsid w:val="00100229"/>
    <w:rsid w:val="00101A08"/>
    <w:rsid w:val="00101FEF"/>
    <w:rsid w:val="0010350F"/>
    <w:rsid w:val="00103F2B"/>
    <w:rsid w:val="00103F7B"/>
    <w:rsid w:val="00103F9C"/>
    <w:rsid w:val="00104346"/>
    <w:rsid w:val="001045ED"/>
    <w:rsid w:val="00104ECA"/>
    <w:rsid w:val="0010502C"/>
    <w:rsid w:val="00105030"/>
    <w:rsid w:val="00105604"/>
    <w:rsid w:val="00105A57"/>
    <w:rsid w:val="00105B19"/>
    <w:rsid w:val="00105D56"/>
    <w:rsid w:val="001060C3"/>
    <w:rsid w:val="00106B51"/>
    <w:rsid w:val="00107C0A"/>
    <w:rsid w:val="00110C9B"/>
    <w:rsid w:val="00110E62"/>
    <w:rsid w:val="00110F30"/>
    <w:rsid w:val="00111791"/>
    <w:rsid w:val="00111C57"/>
    <w:rsid w:val="00111E9E"/>
    <w:rsid w:val="00112469"/>
    <w:rsid w:val="00112A5A"/>
    <w:rsid w:val="00112CD0"/>
    <w:rsid w:val="00112EB1"/>
    <w:rsid w:val="00113806"/>
    <w:rsid w:val="00113D11"/>
    <w:rsid w:val="001146E2"/>
    <w:rsid w:val="00114BAE"/>
    <w:rsid w:val="00114E1C"/>
    <w:rsid w:val="00114ED4"/>
    <w:rsid w:val="00115217"/>
    <w:rsid w:val="0011550F"/>
    <w:rsid w:val="001156B8"/>
    <w:rsid w:val="00115A87"/>
    <w:rsid w:val="00115EA3"/>
    <w:rsid w:val="00116CC6"/>
    <w:rsid w:val="00117928"/>
    <w:rsid w:val="00117A8E"/>
    <w:rsid w:val="00117F4C"/>
    <w:rsid w:val="001202B4"/>
    <w:rsid w:val="00120366"/>
    <w:rsid w:val="00120716"/>
    <w:rsid w:val="001208CD"/>
    <w:rsid w:val="00120CAC"/>
    <w:rsid w:val="00120D47"/>
    <w:rsid w:val="00121264"/>
    <w:rsid w:val="00121F2A"/>
    <w:rsid w:val="00122732"/>
    <w:rsid w:val="00122A15"/>
    <w:rsid w:val="001239AE"/>
    <w:rsid w:val="00124683"/>
    <w:rsid w:val="00124BC8"/>
    <w:rsid w:val="00125894"/>
    <w:rsid w:val="00125BA6"/>
    <w:rsid w:val="00125BBA"/>
    <w:rsid w:val="00125D5B"/>
    <w:rsid w:val="00125D8D"/>
    <w:rsid w:val="001267A0"/>
    <w:rsid w:val="00126E49"/>
    <w:rsid w:val="00126FDA"/>
    <w:rsid w:val="00127AA7"/>
    <w:rsid w:val="001309DA"/>
    <w:rsid w:val="00130DD2"/>
    <w:rsid w:val="00131161"/>
    <w:rsid w:val="0013150C"/>
    <w:rsid w:val="00131AB6"/>
    <w:rsid w:val="00131D7A"/>
    <w:rsid w:val="00132B0B"/>
    <w:rsid w:val="001330AA"/>
    <w:rsid w:val="001331C2"/>
    <w:rsid w:val="0013321E"/>
    <w:rsid w:val="0013341D"/>
    <w:rsid w:val="001337BE"/>
    <w:rsid w:val="001338CD"/>
    <w:rsid w:val="00133A8C"/>
    <w:rsid w:val="0013481A"/>
    <w:rsid w:val="00134E28"/>
    <w:rsid w:val="00134E3D"/>
    <w:rsid w:val="0013514C"/>
    <w:rsid w:val="0013581C"/>
    <w:rsid w:val="0013691F"/>
    <w:rsid w:val="00136C70"/>
    <w:rsid w:val="001401FA"/>
    <w:rsid w:val="0014091B"/>
    <w:rsid w:val="001410D0"/>
    <w:rsid w:val="00141151"/>
    <w:rsid w:val="00141C99"/>
    <w:rsid w:val="0014240C"/>
    <w:rsid w:val="00143089"/>
    <w:rsid w:val="0014371C"/>
    <w:rsid w:val="00143737"/>
    <w:rsid w:val="00143F50"/>
    <w:rsid w:val="00144551"/>
    <w:rsid w:val="001453BF"/>
    <w:rsid w:val="00145C89"/>
    <w:rsid w:val="00146122"/>
    <w:rsid w:val="00146AA2"/>
    <w:rsid w:val="0014723D"/>
    <w:rsid w:val="001479EC"/>
    <w:rsid w:val="001501A5"/>
    <w:rsid w:val="00150DEF"/>
    <w:rsid w:val="00150F93"/>
    <w:rsid w:val="00151328"/>
    <w:rsid w:val="0015132B"/>
    <w:rsid w:val="001513EE"/>
    <w:rsid w:val="00151691"/>
    <w:rsid w:val="0015188F"/>
    <w:rsid w:val="00151D27"/>
    <w:rsid w:val="00152860"/>
    <w:rsid w:val="001528E3"/>
    <w:rsid w:val="00152CDA"/>
    <w:rsid w:val="0015340D"/>
    <w:rsid w:val="001537F7"/>
    <w:rsid w:val="00153970"/>
    <w:rsid w:val="001542F6"/>
    <w:rsid w:val="00154DFB"/>
    <w:rsid w:val="001550B3"/>
    <w:rsid w:val="001552BB"/>
    <w:rsid w:val="00155625"/>
    <w:rsid w:val="001557B4"/>
    <w:rsid w:val="00155A2C"/>
    <w:rsid w:val="00156202"/>
    <w:rsid w:val="0015621E"/>
    <w:rsid w:val="001564D9"/>
    <w:rsid w:val="00156B20"/>
    <w:rsid w:val="001571C0"/>
    <w:rsid w:val="00157438"/>
    <w:rsid w:val="0015772C"/>
    <w:rsid w:val="00157981"/>
    <w:rsid w:val="00157D2B"/>
    <w:rsid w:val="001600EF"/>
    <w:rsid w:val="00160545"/>
    <w:rsid w:val="00160BF2"/>
    <w:rsid w:val="00161E2F"/>
    <w:rsid w:val="00162041"/>
    <w:rsid w:val="001635DE"/>
    <w:rsid w:val="001636A4"/>
    <w:rsid w:val="00164A89"/>
    <w:rsid w:val="00164A8E"/>
    <w:rsid w:val="00165158"/>
    <w:rsid w:val="0016583B"/>
    <w:rsid w:val="00165BC3"/>
    <w:rsid w:val="00165C15"/>
    <w:rsid w:val="00166134"/>
    <w:rsid w:val="00166BBE"/>
    <w:rsid w:val="00166F81"/>
    <w:rsid w:val="00167251"/>
    <w:rsid w:val="00167744"/>
    <w:rsid w:val="00167F4C"/>
    <w:rsid w:val="00170594"/>
    <w:rsid w:val="001705BB"/>
    <w:rsid w:val="00171878"/>
    <w:rsid w:val="00172406"/>
    <w:rsid w:val="00173893"/>
    <w:rsid w:val="001738EB"/>
    <w:rsid w:val="00173C67"/>
    <w:rsid w:val="00173CF5"/>
    <w:rsid w:val="001744DF"/>
    <w:rsid w:val="00175193"/>
    <w:rsid w:val="001755FD"/>
    <w:rsid w:val="001756EE"/>
    <w:rsid w:val="00175908"/>
    <w:rsid w:val="00175D34"/>
    <w:rsid w:val="0017609F"/>
    <w:rsid w:val="001760FE"/>
    <w:rsid w:val="001761EC"/>
    <w:rsid w:val="0017629E"/>
    <w:rsid w:val="00177BCC"/>
    <w:rsid w:val="00177E57"/>
    <w:rsid w:val="00177F2B"/>
    <w:rsid w:val="00180641"/>
    <w:rsid w:val="00180862"/>
    <w:rsid w:val="00180E8B"/>
    <w:rsid w:val="001810D8"/>
    <w:rsid w:val="00181540"/>
    <w:rsid w:val="00182028"/>
    <w:rsid w:val="001821CE"/>
    <w:rsid w:val="001824AB"/>
    <w:rsid w:val="00182F44"/>
    <w:rsid w:val="0018340C"/>
    <w:rsid w:val="00183525"/>
    <w:rsid w:val="001836E1"/>
    <w:rsid w:val="00183B06"/>
    <w:rsid w:val="00184187"/>
    <w:rsid w:val="00184287"/>
    <w:rsid w:val="001849F0"/>
    <w:rsid w:val="00184B3C"/>
    <w:rsid w:val="001853D4"/>
    <w:rsid w:val="00185676"/>
    <w:rsid w:val="00185881"/>
    <w:rsid w:val="001863C0"/>
    <w:rsid w:val="001864B7"/>
    <w:rsid w:val="00186750"/>
    <w:rsid w:val="0018700A"/>
    <w:rsid w:val="0018723E"/>
    <w:rsid w:val="001873E9"/>
    <w:rsid w:val="001876BC"/>
    <w:rsid w:val="00187B35"/>
    <w:rsid w:val="00187F95"/>
    <w:rsid w:val="0019095C"/>
    <w:rsid w:val="00191B6F"/>
    <w:rsid w:val="00192605"/>
    <w:rsid w:val="001926EE"/>
    <w:rsid w:val="00192DAF"/>
    <w:rsid w:val="001934E4"/>
    <w:rsid w:val="00193FC9"/>
    <w:rsid w:val="001947B3"/>
    <w:rsid w:val="00194B5E"/>
    <w:rsid w:val="0019505F"/>
    <w:rsid w:val="00195175"/>
    <w:rsid w:val="00195B85"/>
    <w:rsid w:val="00195BDB"/>
    <w:rsid w:val="0019658B"/>
    <w:rsid w:val="001966FD"/>
    <w:rsid w:val="00196C8C"/>
    <w:rsid w:val="001975AA"/>
    <w:rsid w:val="00197749"/>
    <w:rsid w:val="001978D0"/>
    <w:rsid w:val="001979B2"/>
    <w:rsid w:val="00197C03"/>
    <w:rsid w:val="00197E27"/>
    <w:rsid w:val="001A06D1"/>
    <w:rsid w:val="001A0819"/>
    <w:rsid w:val="001A08B5"/>
    <w:rsid w:val="001A0A15"/>
    <w:rsid w:val="001A0BB0"/>
    <w:rsid w:val="001A243A"/>
    <w:rsid w:val="001A2535"/>
    <w:rsid w:val="001A25AA"/>
    <w:rsid w:val="001A27B2"/>
    <w:rsid w:val="001A3363"/>
    <w:rsid w:val="001A3F69"/>
    <w:rsid w:val="001A418A"/>
    <w:rsid w:val="001A4280"/>
    <w:rsid w:val="001A438C"/>
    <w:rsid w:val="001A49BC"/>
    <w:rsid w:val="001A543E"/>
    <w:rsid w:val="001A551B"/>
    <w:rsid w:val="001A67A2"/>
    <w:rsid w:val="001A6E11"/>
    <w:rsid w:val="001A709B"/>
    <w:rsid w:val="001A79AF"/>
    <w:rsid w:val="001A7B8D"/>
    <w:rsid w:val="001A7E92"/>
    <w:rsid w:val="001B0047"/>
    <w:rsid w:val="001B0AA3"/>
    <w:rsid w:val="001B0C55"/>
    <w:rsid w:val="001B0E8A"/>
    <w:rsid w:val="001B1228"/>
    <w:rsid w:val="001B292D"/>
    <w:rsid w:val="001B2CC3"/>
    <w:rsid w:val="001B311D"/>
    <w:rsid w:val="001B32C0"/>
    <w:rsid w:val="001B33C0"/>
    <w:rsid w:val="001B359A"/>
    <w:rsid w:val="001B3923"/>
    <w:rsid w:val="001B3B38"/>
    <w:rsid w:val="001B3D71"/>
    <w:rsid w:val="001B4257"/>
    <w:rsid w:val="001B497B"/>
    <w:rsid w:val="001B4E60"/>
    <w:rsid w:val="001B4F26"/>
    <w:rsid w:val="001B534F"/>
    <w:rsid w:val="001B5390"/>
    <w:rsid w:val="001B6DE6"/>
    <w:rsid w:val="001B7885"/>
    <w:rsid w:val="001C0112"/>
    <w:rsid w:val="001C0193"/>
    <w:rsid w:val="001C0959"/>
    <w:rsid w:val="001C1BA6"/>
    <w:rsid w:val="001C233C"/>
    <w:rsid w:val="001C245B"/>
    <w:rsid w:val="001C2561"/>
    <w:rsid w:val="001C27E6"/>
    <w:rsid w:val="001C2E2D"/>
    <w:rsid w:val="001C30BE"/>
    <w:rsid w:val="001C32FD"/>
    <w:rsid w:val="001C3FEB"/>
    <w:rsid w:val="001C41EA"/>
    <w:rsid w:val="001C445C"/>
    <w:rsid w:val="001C51D0"/>
    <w:rsid w:val="001C526B"/>
    <w:rsid w:val="001C5429"/>
    <w:rsid w:val="001C57DA"/>
    <w:rsid w:val="001C5B38"/>
    <w:rsid w:val="001C6312"/>
    <w:rsid w:val="001C6C85"/>
    <w:rsid w:val="001C6E04"/>
    <w:rsid w:val="001C7131"/>
    <w:rsid w:val="001C7517"/>
    <w:rsid w:val="001C7C93"/>
    <w:rsid w:val="001D048A"/>
    <w:rsid w:val="001D04EE"/>
    <w:rsid w:val="001D0E27"/>
    <w:rsid w:val="001D1557"/>
    <w:rsid w:val="001D199C"/>
    <w:rsid w:val="001D1A1C"/>
    <w:rsid w:val="001D2011"/>
    <w:rsid w:val="001D2E12"/>
    <w:rsid w:val="001D3697"/>
    <w:rsid w:val="001D3871"/>
    <w:rsid w:val="001D413F"/>
    <w:rsid w:val="001D4759"/>
    <w:rsid w:val="001D47E5"/>
    <w:rsid w:val="001D51AB"/>
    <w:rsid w:val="001D5C2B"/>
    <w:rsid w:val="001D5C51"/>
    <w:rsid w:val="001D6481"/>
    <w:rsid w:val="001D78F7"/>
    <w:rsid w:val="001D7EB5"/>
    <w:rsid w:val="001E084B"/>
    <w:rsid w:val="001E08F3"/>
    <w:rsid w:val="001E0CE1"/>
    <w:rsid w:val="001E11A3"/>
    <w:rsid w:val="001E126D"/>
    <w:rsid w:val="001E1548"/>
    <w:rsid w:val="001E1924"/>
    <w:rsid w:val="001E1CCD"/>
    <w:rsid w:val="001E1CCF"/>
    <w:rsid w:val="001E247B"/>
    <w:rsid w:val="001E2D15"/>
    <w:rsid w:val="001E2F6D"/>
    <w:rsid w:val="001E33A0"/>
    <w:rsid w:val="001E3521"/>
    <w:rsid w:val="001E3C98"/>
    <w:rsid w:val="001E3DB9"/>
    <w:rsid w:val="001E3E5C"/>
    <w:rsid w:val="001E431E"/>
    <w:rsid w:val="001E595A"/>
    <w:rsid w:val="001E649C"/>
    <w:rsid w:val="001E64AE"/>
    <w:rsid w:val="001E669E"/>
    <w:rsid w:val="001E6E7D"/>
    <w:rsid w:val="001E6F79"/>
    <w:rsid w:val="001E791F"/>
    <w:rsid w:val="001F02D8"/>
    <w:rsid w:val="001F0654"/>
    <w:rsid w:val="001F0720"/>
    <w:rsid w:val="001F0FF5"/>
    <w:rsid w:val="001F11D7"/>
    <w:rsid w:val="001F1E4F"/>
    <w:rsid w:val="001F2ACE"/>
    <w:rsid w:val="001F34D2"/>
    <w:rsid w:val="001F3929"/>
    <w:rsid w:val="001F3AB6"/>
    <w:rsid w:val="001F447E"/>
    <w:rsid w:val="001F4739"/>
    <w:rsid w:val="001F47FD"/>
    <w:rsid w:val="001F4916"/>
    <w:rsid w:val="001F528E"/>
    <w:rsid w:val="001F545C"/>
    <w:rsid w:val="001F559B"/>
    <w:rsid w:val="001F56F5"/>
    <w:rsid w:val="001F5AEF"/>
    <w:rsid w:val="001F67D3"/>
    <w:rsid w:val="001F7711"/>
    <w:rsid w:val="001F7B7B"/>
    <w:rsid w:val="00200046"/>
    <w:rsid w:val="00200CDD"/>
    <w:rsid w:val="002012B4"/>
    <w:rsid w:val="00201509"/>
    <w:rsid w:val="00201765"/>
    <w:rsid w:val="0020211A"/>
    <w:rsid w:val="0020246C"/>
    <w:rsid w:val="00202F8C"/>
    <w:rsid w:val="00203262"/>
    <w:rsid w:val="00203508"/>
    <w:rsid w:val="00203B55"/>
    <w:rsid w:val="002046C0"/>
    <w:rsid w:val="00204AC2"/>
    <w:rsid w:val="00204AD3"/>
    <w:rsid w:val="00204B4E"/>
    <w:rsid w:val="00204B55"/>
    <w:rsid w:val="00204D1A"/>
    <w:rsid w:val="0020517A"/>
    <w:rsid w:val="002054B6"/>
    <w:rsid w:val="00205759"/>
    <w:rsid w:val="00205818"/>
    <w:rsid w:val="00207652"/>
    <w:rsid w:val="00207799"/>
    <w:rsid w:val="00207CDF"/>
    <w:rsid w:val="00212046"/>
    <w:rsid w:val="00212509"/>
    <w:rsid w:val="00212BBF"/>
    <w:rsid w:val="00213E4C"/>
    <w:rsid w:val="00214749"/>
    <w:rsid w:val="00215B68"/>
    <w:rsid w:val="00217218"/>
    <w:rsid w:val="00217382"/>
    <w:rsid w:val="002175CD"/>
    <w:rsid w:val="002175D6"/>
    <w:rsid w:val="00217F27"/>
    <w:rsid w:val="00220097"/>
    <w:rsid w:val="00220A9F"/>
    <w:rsid w:val="002218BD"/>
    <w:rsid w:val="00221E6D"/>
    <w:rsid w:val="0022201C"/>
    <w:rsid w:val="00222022"/>
    <w:rsid w:val="00222381"/>
    <w:rsid w:val="00222666"/>
    <w:rsid w:val="00222940"/>
    <w:rsid w:val="00223101"/>
    <w:rsid w:val="00223288"/>
    <w:rsid w:val="00223EA2"/>
    <w:rsid w:val="00224302"/>
    <w:rsid w:val="00224D54"/>
    <w:rsid w:val="002254B7"/>
    <w:rsid w:val="0022582E"/>
    <w:rsid w:val="00226925"/>
    <w:rsid w:val="00226B2E"/>
    <w:rsid w:val="00226ECD"/>
    <w:rsid w:val="0022728F"/>
    <w:rsid w:val="00227400"/>
    <w:rsid w:val="00227531"/>
    <w:rsid w:val="00227829"/>
    <w:rsid w:val="00227A81"/>
    <w:rsid w:val="00227C80"/>
    <w:rsid w:val="00230231"/>
    <w:rsid w:val="00230C6B"/>
    <w:rsid w:val="00230FAB"/>
    <w:rsid w:val="00231B56"/>
    <w:rsid w:val="00231C65"/>
    <w:rsid w:val="00231FD1"/>
    <w:rsid w:val="002328E7"/>
    <w:rsid w:val="00232D7A"/>
    <w:rsid w:val="00232F71"/>
    <w:rsid w:val="002336EB"/>
    <w:rsid w:val="0023402C"/>
    <w:rsid w:val="0023440A"/>
    <w:rsid w:val="00234716"/>
    <w:rsid w:val="0023492B"/>
    <w:rsid w:val="00235198"/>
    <w:rsid w:val="002351A7"/>
    <w:rsid w:val="002356CC"/>
    <w:rsid w:val="002357A3"/>
    <w:rsid w:val="002359C1"/>
    <w:rsid w:val="00235D72"/>
    <w:rsid w:val="00236D8F"/>
    <w:rsid w:val="00237227"/>
    <w:rsid w:val="0023759C"/>
    <w:rsid w:val="00237698"/>
    <w:rsid w:val="00237A9C"/>
    <w:rsid w:val="002400D7"/>
    <w:rsid w:val="0024062F"/>
    <w:rsid w:val="002406FF"/>
    <w:rsid w:val="002407AA"/>
    <w:rsid w:val="002409E3"/>
    <w:rsid w:val="00240BBD"/>
    <w:rsid w:val="0024152A"/>
    <w:rsid w:val="00241834"/>
    <w:rsid w:val="00241FF4"/>
    <w:rsid w:val="002427FB"/>
    <w:rsid w:val="00243863"/>
    <w:rsid w:val="00243CCD"/>
    <w:rsid w:val="00244617"/>
    <w:rsid w:val="00245650"/>
    <w:rsid w:val="00245F7B"/>
    <w:rsid w:val="00246499"/>
    <w:rsid w:val="002464E2"/>
    <w:rsid w:val="00246B78"/>
    <w:rsid w:val="00247D3F"/>
    <w:rsid w:val="00247E2C"/>
    <w:rsid w:val="002512E7"/>
    <w:rsid w:val="002518BC"/>
    <w:rsid w:val="00251FE9"/>
    <w:rsid w:val="00252187"/>
    <w:rsid w:val="002522E7"/>
    <w:rsid w:val="002523D3"/>
    <w:rsid w:val="00252A21"/>
    <w:rsid w:val="00252C65"/>
    <w:rsid w:val="00252CB4"/>
    <w:rsid w:val="00253219"/>
    <w:rsid w:val="0025393D"/>
    <w:rsid w:val="002547EE"/>
    <w:rsid w:val="00255CF3"/>
    <w:rsid w:val="00255DB6"/>
    <w:rsid w:val="00255F5F"/>
    <w:rsid w:val="002563EE"/>
    <w:rsid w:val="0025715B"/>
    <w:rsid w:val="0025758D"/>
    <w:rsid w:val="00257839"/>
    <w:rsid w:val="00257AD5"/>
    <w:rsid w:val="00261597"/>
    <w:rsid w:val="00261D42"/>
    <w:rsid w:val="00261E8A"/>
    <w:rsid w:val="0026270D"/>
    <w:rsid w:val="0026278A"/>
    <w:rsid w:val="00262F94"/>
    <w:rsid w:val="002631F1"/>
    <w:rsid w:val="002633FD"/>
    <w:rsid w:val="0026395F"/>
    <w:rsid w:val="002639C4"/>
    <w:rsid w:val="00263A06"/>
    <w:rsid w:val="00263AE1"/>
    <w:rsid w:val="00263CEC"/>
    <w:rsid w:val="00264192"/>
    <w:rsid w:val="00264435"/>
    <w:rsid w:val="002647B6"/>
    <w:rsid w:val="00264B4E"/>
    <w:rsid w:val="00264C49"/>
    <w:rsid w:val="00264C4C"/>
    <w:rsid w:val="002654D2"/>
    <w:rsid w:val="00265E1D"/>
    <w:rsid w:val="002660F4"/>
    <w:rsid w:val="00266298"/>
    <w:rsid w:val="00266D4F"/>
    <w:rsid w:val="00266DA4"/>
    <w:rsid w:val="00266DF2"/>
    <w:rsid w:val="00267CEC"/>
    <w:rsid w:val="002706D2"/>
    <w:rsid w:val="00271598"/>
    <w:rsid w:val="00271B8D"/>
    <w:rsid w:val="0027242B"/>
    <w:rsid w:val="002727F2"/>
    <w:rsid w:val="00272E4E"/>
    <w:rsid w:val="002738B9"/>
    <w:rsid w:val="00274B98"/>
    <w:rsid w:val="00274CEB"/>
    <w:rsid w:val="002752A9"/>
    <w:rsid w:val="00275CDD"/>
    <w:rsid w:val="00275FCB"/>
    <w:rsid w:val="0027669E"/>
    <w:rsid w:val="002767E3"/>
    <w:rsid w:val="00276F08"/>
    <w:rsid w:val="0027707C"/>
    <w:rsid w:val="002770BA"/>
    <w:rsid w:val="00277147"/>
    <w:rsid w:val="00277613"/>
    <w:rsid w:val="00277892"/>
    <w:rsid w:val="00277DD0"/>
    <w:rsid w:val="00280176"/>
    <w:rsid w:val="00280BC7"/>
    <w:rsid w:val="00280BCD"/>
    <w:rsid w:val="00281482"/>
    <w:rsid w:val="002818D1"/>
    <w:rsid w:val="00281935"/>
    <w:rsid w:val="00281C91"/>
    <w:rsid w:val="00281DAD"/>
    <w:rsid w:val="00281EF4"/>
    <w:rsid w:val="00282A0D"/>
    <w:rsid w:val="00282A84"/>
    <w:rsid w:val="00282B08"/>
    <w:rsid w:val="002837F0"/>
    <w:rsid w:val="00283A73"/>
    <w:rsid w:val="00284A30"/>
    <w:rsid w:val="00284FDD"/>
    <w:rsid w:val="0028528B"/>
    <w:rsid w:val="00285583"/>
    <w:rsid w:val="00285A16"/>
    <w:rsid w:val="00286CF7"/>
    <w:rsid w:val="0028701A"/>
    <w:rsid w:val="00287032"/>
    <w:rsid w:val="00287D7E"/>
    <w:rsid w:val="00287F60"/>
    <w:rsid w:val="00290216"/>
    <w:rsid w:val="002911B7"/>
    <w:rsid w:val="002912C7"/>
    <w:rsid w:val="00291734"/>
    <w:rsid w:val="00291F41"/>
    <w:rsid w:val="0029207B"/>
    <w:rsid w:val="00292477"/>
    <w:rsid w:val="00292DFD"/>
    <w:rsid w:val="0029300F"/>
    <w:rsid w:val="00293142"/>
    <w:rsid w:val="002938F2"/>
    <w:rsid w:val="00293ABB"/>
    <w:rsid w:val="00294147"/>
    <w:rsid w:val="00294442"/>
    <w:rsid w:val="002946BE"/>
    <w:rsid w:val="002946FF"/>
    <w:rsid w:val="00294CBE"/>
    <w:rsid w:val="00294CCF"/>
    <w:rsid w:val="00296D24"/>
    <w:rsid w:val="00296E9B"/>
    <w:rsid w:val="00296F21"/>
    <w:rsid w:val="00297B71"/>
    <w:rsid w:val="002A0722"/>
    <w:rsid w:val="002A0D44"/>
    <w:rsid w:val="002A1545"/>
    <w:rsid w:val="002A1579"/>
    <w:rsid w:val="002A1771"/>
    <w:rsid w:val="002A18E3"/>
    <w:rsid w:val="002A19BE"/>
    <w:rsid w:val="002A1B08"/>
    <w:rsid w:val="002A1ECD"/>
    <w:rsid w:val="002A202E"/>
    <w:rsid w:val="002A24C4"/>
    <w:rsid w:val="002A29E6"/>
    <w:rsid w:val="002A2BCA"/>
    <w:rsid w:val="002A2F45"/>
    <w:rsid w:val="002A33EE"/>
    <w:rsid w:val="002A3B24"/>
    <w:rsid w:val="002A3BC3"/>
    <w:rsid w:val="002A3BF8"/>
    <w:rsid w:val="002A3F7D"/>
    <w:rsid w:val="002A4C3E"/>
    <w:rsid w:val="002A54E0"/>
    <w:rsid w:val="002A5D70"/>
    <w:rsid w:val="002A5E50"/>
    <w:rsid w:val="002A6BE5"/>
    <w:rsid w:val="002A7515"/>
    <w:rsid w:val="002A784E"/>
    <w:rsid w:val="002A7B5D"/>
    <w:rsid w:val="002A7DB2"/>
    <w:rsid w:val="002B048A"/>
    <w:rsid w:val="002B095F"/>
    <w:rsid w:val="002B0965"/>
    <w:rsid w:val="002B1488"/>
    <w:rsid w:val="002B1A07"/>
    <w:rsid w:val="002B1FCE"/>
    <w:rsid w:val="002B221F"/>
    <w:rsid w:val="002B22F5"/>
    <w:rsid w:val="002B29EB"/>
    <w:rsid w:val="002B2AE4"/>
    <w:rsid w:val="002B309C"/>
    <w:rsid w:val="002B351B"/>
    <w:rsid w:val="002B38ED"/>
    <w:rsid w:val="002B41A1"/>
    <w:rsid w:val="002B41C8"/>
    <w:rsid w:val="002B466D"/>
    <w:rsid w:val="002B4965"/>
    <w:rsid w:val="002B4A18"/>
    <w:rsid w:val="002B4C49"/>
    <w:rsid w:val="002B5512"/>
    <w:rsid w:val="002B5914"/>
    <w:rsid w:val="002B5B42"/>
    <w:rsid w:val="002B5D91"/>
    <w:rsid w:val="002B64B8"/>
    <w:rsid w:val="002B6625"/>
    <w:rsid w:val="002B6DAC"/>
    <w:rsid w:val="002B7404"/>
    <w:rsid w:val="002B756C"/>
    <w:rsid w:val="002B77DB"/>
    <w:rsid w:val="002B7AF5"/>
    <w:rsid w:val="002C03F2"/>
    <w:rsid w:val="002C07DE"/>
    <w:rsid w:val="002C07EA"/>
    <w:rsid w:val="002C0C02"/>
    <w:rsid w:val="002C0CF1"/>
    <w:rsid w:val="002C0EA9"/>
    <w:rsid w:val="002C10A4"/>
    <w:rsid w:val="002C1268"/>
    <w:rsid w:val="002C1CEB"/>
    <w:rsid w:val="002C26A4"/>
    <w:rsid w:val="002C2878"/>
    <w:rsid w:val="002C2B0F"/>
    <w:rsid w:val="002C3255"/>
    <w:rsid w:val="002C34EB"/>
    <w:rsid w:val="002C3E7D"/>
    <w:rsid w:val="002C4E16"/>
    <w:rsid w:val="002C5E84"/>
    <w:rsid w:val="002C658E"/>
    <w:rsid w:val="002C690E"/>
    <w:rsid w:val="002C7660"/>
    <w:rsid w:val="002C76BA"/>
    <w:rsid w:val="002C7ADB"/>
    <w:rsid w:val="002D0041"/>
    <w:rsid w:val="002D008E"/>
    <w:rsid w:val="002D0981"/>
    <w:rsid w:val="002D1809"/>
    <w:rsid w:val="002D1C16"/>
    <w:rsid w:val="002D27D8"/>
    <w:rsid w:val="002D2963"/>
    <w:rsid w:val="002D2BCD"/>
    <w:rsid w:val="002D30E4"/>
    <w:rsid w:val="002D39FB"/>
    <w:rsid w:val="002D4212"/>
    <w:rsid w:val="002D448A"/>
    <w:rsid w:val="002D491F"/>
    <w:rsid w:val="002D4A34"/>
    <w:rsid w:val="002D5A8B"/>
    <w:rsid w:val="002D5DCB"/>
    <w:rsid w:val="002D67BA"/>
    <w:rsid w:val="002D6C2A"/>
    <w:rsid w:val="002D6C53"/>
    <w:rsid w:val="002D6C5C"/>
    <w:rsid w:val="002D6D3D"/>
    <w:rsid w:val="002D6D54"/>
    <w:rsid w:val="002D71DC"/>
    <w:rsid w:val="002D7383"/>
    <w:rsid w:val="002D7B0B"/>
    <w:rsid w:val="002D7C8B"/>
    <w:rsid w:val="002E0209"/>
    <w:rsid w:val="002E02F9"/>
    <w:rsid w:val="002E0563"/>
    <w:rsid w:val="002E09DB"/>
    <w:rsid w:val="002E13CD"/>
    <w:rsid w:val="002E1A97"/>
    <w:rsid w:val="002E1C3F"/>
    <w:rsid w:val="002E2239"/>
    <w:rsid w:val="002E33DD"/>
    <w:rsid w:val="002E3693"/>
    <w:rsid w:val="002E37B3"/>
    <w:rsid w:val="002E3B5C"/>
    <w:rsid w:val="002E44EF"/>
    <w:rsid w:val="002E4871"/>
    <w:rsid w:val="002E49F5"/>
    <w:rsid w:val="002E51EE"/>
    <w:rsid w:val="002E52FD"/>
    <w:rsid w:val="002E5C41"/>
    <w:rsid w:val="002E5F86"/>
    <w:rsid w:val="002E6222"/>
    <w:rsid w:val="002E6EC3"/>
    <w:rsid w:val="002E7B24"/>
    <w:rsid w:val="002F0062"/>
    <w:rsid w:val="002F018E"/>
    <w:rsid w:val="002F0255"/>
    <w:rsid w:val="002F066A"/>
    <w:rsid w:val="002F0717"/>
    <w:rsid w:val="002F12EE"/>
    <w:rsid w:val="002F164D"/>
    <w:rsid w:val="002F20F8"/>
    <w:rsid w:val="002F2805"/>
    <w:rsid w:val="002F2A6B"/>
    <w:rsid w:val="002F2DBD"/>
    <w:rsid w:val="002F30CF"/>
    <w:rsid w:val="002F36F8"/>
    <w:rsid w:val="002F395C"/>
    <w:rsid w:val="002F3CE4"/>
    <w:rsid w:val="002F443E"/>
    <w:rsid w:val="002F461A"/>
    <w:rsid w:val="002F4666"/>
    <w:rsid w:val="002F5595"/>
    <w:rsid w:val="002F5892"/>
    <w:rsid w:val="002F5F57"/>
    <w:rsid w:val="002F6258"/>
    <w:rsid w:val="002F6653"/>
    <w:rsid w:val="002F6707"/>
    <w:rsid w:val="002F6B37"/>
    <w:rsid w:val="002F7177"/>
    <w:rsid w:val="002F784F"/>
    <w:rsid w:val="002F7A5C"/>
    <w:rsid w:val="0030196A"/>
    <w:rsid w:val="00301B2A"/>
    <w:rsid w:val="00301D01"/>
    <w:rsid w:val="00302225"/>
    <w:rsid w:val="003025C3"/>
    <w:rsid w:val="003025D2"/>
    <w:rsid w:val="00303560"/>
    <w:rsid w:val="00303BC2"/>
    <w:rsid w:val="00303EB7"/>
    <w:rsid w:val="00304834"/>
    <w:rsid w:val="00305318"/>
    <w:rsid w:val="003053F4"/>
    <w:rsid w:val="0030570D"/>
    <w:rsid w:val="00305CD5"/>
    <w:rsid w:val="00306349"/>
    <w:rsid w:val="0030642F"/>
    <w:rsid w:val="00306847"/>
    <w:rsid w:val="00306F00"/>
    <w:rsid w:val="003074E8"/>
    <w:rsid w:val="00307B54"/>
    <w:rsid w:val="0031029C"/>
    <w:rsid w:val="003102E4"/>
    <w:rsid w:val="0031032F"/>
    <w:rsid w:val="00310F1F"/>
    <w:rsid w:val="00311224"/>
    <w:rsid w:val="00311334"/>
    <w:rsid w:val="00311A6F"/>
    <w:rsid w:val="00311B38"/>
    <w:rsid w:val="00312746"/>
    <w:rsid w:val="00312911"/>
    <w:rsid w:val="00313629"/>
    <w:rsid w:val="003138C2"/>
    <w:rsid w:val="00313ADD"/>
    <w:rsid w:val="00313B87"/>
    <w:rsid w:val="00314064"/>
    <w:rsid w:val="00314275"/>
    <w:rsid w:val="00314281"/>
    <w:rsid w:val="00314545"/>
    <w:rsid w:val="003148C0"/>
    <w:rsid w:val="00314B3F"/>
    <w:rsid w:val="00314D40"/>
    <w:rsid w:val="003150EC"/>
    <w:rsid w:val="0031532E"/>
    <w:rsid w:val="0031570D"/>
    <w:rsid w:val="00315DF0"/>
    <w:rsid w:val="00316280"/>
    <w:rsid w:val="00316D8A"/>
    <w:rsid w:val="00316E2F"/>
    <w:rsid w:val="00317D27"/>
    <w:rsid w:val="00320736"/>
    <w:rsid w:val="003208A0"/>
    <w:rsid w:val="00320E04"/>
    <w:rsid w:val="003215D9"/>
    <w:rsid w:val="00322137"/>
    <w:rsid w:val="003222B6"/>
    <w:rsid w:val="003223E4"/>
    <w:rsid w:val="00322776"/>
    <w:rsid w:val="003234BD"/>
    <w:rsid w:val="00323538"/>
    <w:rsid w:val="0032396B"/>
    <w:rsid w:val="00323997"/>
    <w:rsid w:val="00323B25"/>
    <w:rsid w:val="0032423D"/>
    <w:rsid w:val="003244EE"/>
    <w:rsid w:val="00324B18"/>
    <w:rsid w:val="0032554D"/>
    <w:rsid w:val="00326010"/>
    <w:rsid w:val="003261AC"/>
    <w:rsid w:val="0032663F"/>
    <w:rsid w:val="0032698C"/>
    <w:rsid w:val="00326F32"/>
    <w:rsid w:val="003277D6"/>
    <w:rsid w:val="00330889"/>
    <w:rsid w:val="00330D43"/>
    <w:rsid w:val="00331048"/>
    <w:rsid w:val="003329A7"/>
    <w:rsid w:val="00332BAD"/>
    <w:rsid w:val="00332E74"/>
    <w:rsid w:val="0033342E"/>
    <w:rsid w:val="00333621"/>
    <w:rsid w:val="00333887"/>
    <w:rsid w:val="00333FF3"/>
    <w:rsid w:val="00334611"/>
    <w:rsid w:val="00334F6A"/>
    <w:rsid w:val="0033509D"/>
    <w:rsid w:val="003352DA"/>
    <w:rsid w:val="0033536E"/>
    <w:rsid w:val="00335754"/>
    <w:rsid w:val="00335912"/>
    <w:rsid w:val="00336043"/>
    <w:rsid w:val="0033647F"/>
    <w:rsid w:val="003365A2"/>
    <w:rsid w:val="00336CCE"/>
    <w:rsid w:val="003376AB"/>
    <w:rsid w:val="00337DEE"/>
    <w:rsid w:val="003401FB"/>
    <w:rsid w:val="0034044A"/>
    <w:rsid w:val="003411C7"/>
    <w:rsid w:val="00341A3B"/>
    <w:rsid w:val="00341F53"/>
    <w:rsid w:val="00341F85"/>
    <w:rsid w:val="003429BA"/>
    <w:rsid w:val="00342AC8"/>
    <w:rsid w:val="003430DD"/>
    <w:rsid w:val="003437ED"/>
    <w:rsid w:val="00343B01"/>
    <w:rsid w:val="00344703"/>
    <w:rsid w:val="00344DF9"/>
    <w:rsid w:val="00344E2B"/>
    <w:rsid w:val="00345380"/>
    <w:rsid w:val="00345613"/>
    <w:rsid w:val="0034580E"/>
    <w:rsid w:val="00345A4E"/>
    <w:rsid w:val="00345EAF"/>
    <w:rsid w:val="00345EB1"/>
    <w:rsid w:val="003464A4"/>
    <w:rsid w:val="00346AD9"/>
    <w:rsid w:val="00346D57"/>
    <w:rsid w:val="00346DE2"/>
    <w:rsid w:val="0034706D"/>
    <w:rsid w:val="003472FB"/>
    <w:rsid w:val="00350104"/>
    <w:rsid w:val="00351175"/>
    <w:rsid w:val="0035130F"/>
    <w:rsid w:val="00351412"/>
    <w:rsid w:val="00351B2C"/>
    <w:rsid w:val="00351C84"/>
    <w:rsid w:val="00351CF1"/>
    <w:rsid w:val="00352470"/>
    <w:rsid w:val="0035264A"/>
    <w:rsid w:val="00352AFC"/>
    <w:rsid w:val="003531AA"/>
    <w:rsid w:val="0035382F"/>
    <w:rsid w:val="00353FC9"/>
    <w:rsid w:val="00354D3E"/>
    <w:rsid w:val="003550E1"/>
    <w:rsid w:val="0035576C"/>
    <w:rsid w:val="00355842"/>
    <w:rsid w:val="00355CD3"/>
    <w:rsid w:val="00355EAD"/>
    <w:rsid w:val="00355FFC"/>
    <w:rsid w:val="00356640"/>
    <w:rsid w:val="0035697E"/>
    <w:rsid w:val="00356D20"/>
    <w:rsid w:val="00356DDE"/>
    <w:rsid w:val="003577E0"/>
    <w:rsid w:val="00357E0E"/>
    <w:rsid w:val="00357F2E"/>
    <w:rsid w:val="003600FB"/>
    <w:rsid w:val="00360F77"/>
    <w:rsid w:val="003611C7"/>
    <w:rsid w:val="003614B9"/>
    <w:rsid w:val="00361BB6"/>
    <w:rsid w:val="00361C28"/>
    <w:rsid w:val="003625B3"/>
    <w:rsid w:val="00363285"/>
    <w:rsid w:val="00364403"/>
    <w:rsid w:val="00365101"/>
    <w:rsid w:val="0036554A"/>
    <w:rsid w:val="00366363"/>
    <w:rsid w:val="0036730C"/>
    <w:rsid w:val="0036771F"/>
    <w:rsid w:val="00367A67"/>
    <w:rsid w:val="00367C1A"/>
    <w:rsid w:val="00367DC0"/>
    <w:rsid w:val="00370E47"/>
    <w:rsid w:val="003714BF"/>
    <w:rsid w:val="003717C4"/>
    <w:rsid w:val="00371837"/>
    <w:rsid w:val="00371895"/>
    <w:rsid w:val="0037244C"/>
    <w:rsid w:val="003724BB"/>
    <w:rsid w:val="0037262F"/>
    <w:rsid w:val="00372E4C"/>
    <w:rsid w:val="00373142"/>
    <w:rsid w:val="0037316D"/>
    <w:rsid w:val="00373440"/>
    <w:rsid w:val="00373ADE"/>
    <w:rsid w:val="00374538"/>
    <w:rsid w:val="00375128"/>
    <w:rsid w:val="0037588E"/>
    <w:rsid w:val="00375BE8"/>
    <w:rsid w:val="00375CC0"/>
    <w:rsid w:val="00376391"/>
    <w:rsid w:val="0037714C"/>
    <w:rsid w:val="0037794A"/>
    <w:rsid w:val="00380A48"/>
    <w:rsid w:val="00381335"/>
    <w:rsid w:val="00381CDD"/>
    <w:rsid w:val="00381E58"/>
    <w:rsid w:val="0038266B"/>
    <w:rsid w:val="00382C55"/>
    <w:rsid w:val="0038402C"/>
    <w:rsid w:val="00384102"/>
    <w:rsid w:val="003844CA"/>
    <w:rsid w:val="00384F6F"/>
    <w:rsid w:val="0038537E"/>
    <w:rsid w:val="00385F04"/>
    <w:rsid w:val="003863E4"/>
    <w:rsid w:val="003867BB"/>
    <w:rsid w:val="00386D43"/>
    <w:rsid w:val="00387428"/>
    <w:rsid w:val="00387E40"/>
    <w:rsid w:val="00390411"/>
    <w:rsid w:val="003905D2"/>
    <w:rsid w:val="00390A10"/>
    <w:rsid w:val="00390A76"/>
    <w:rsid w:val="00391085"/>
    <w:rsid w:val="00391794"/>
    <w:rsid w:val="00391F8E"/>
    <w:rsid w:val="00392657"/>
    <w:rsid w:val="00392835"/>
    <w:rsid w:val="003929B8"/>
    <w:rsid w:val="00392A0E"/>
    <w:rsid w:val="00392CED"/>
    <w:rsid w:val="0039330A"/>
    <w:rsid w:val="00393C1A"/>
    <w:rsid w:val="00395608"/>
    <w:rsid w:val="0039651E"/>
    <w:rsid w:val="00396794"/>
    <w:rsid w:val="003968AA"/>
    <w:rsid w:val="0039765B"/>
    <w:rsid w:val="0039781E"/>
    <w:rsid w:val="003978FB"/>
    <w:rsid w:val="00397939"/>
    <w:rsid w:val="00397DA6"/>
    <w:rsid w:val="003A0766"/>
    <w:rsid w:val="003A1863"/>
    <w:rsid w:val="003A186B"/>
    <w:rsid w:val="003A1980"/>
    <w:rsid w:val="003A1E05"/>
    <w:rsid w:val="003A1EA7"/>
    <w:rsid w:val="003A2765"/>
    <w:rsid w:val="003A2954"/>
    <w:rsid w:val="003A2CFF"/>
    <w:rsid w:val="003A2D03"/>
    <w:rsid w:val="003A2EB5"/>
    <w:rsid w:val="003A39F9"/>
    <w:rsid w:val="003A3D84"/>
    <w:rsid w:val="003A3F12"/>
    <w:rsid w:val="003A4388"/>
    <w:rsid w:val="003A46B9"/>
    <w:rsid w:val="003A46E5"/>
    <w:rsid w:val="003A4700"/>
    <w:rsid w:val="003A5A1A"/>
    <w:rsid w:val="003A5D58"/>
    <w:rsid w:val="003A61E2"/>
    <w:rsid w:val="003A64D0"/>
    <w:rsid w:val="003A6789"/>
    <w:rsid w:val="003A6E7F"/>
    <w:rsid w:val="003A6EA0"/>
    <w:rsid w:val="003A7F6F"/>
    <w:rsid w:val="003B0F8B"/>
    <w:rsid w:val="003B195F"/>
    <w:rsid w:val="003B228F"/>
    <w:rsid w:val="003B2341"/>
    <w:rsid w:val="003B277A"/>
    <w:rsid w:val="003B2B13"/>
    <w:rsid w:val="003B2C2F"/>
    <w:rsid w:val="003B3233"/>
    <w:rsid w:val="003B3869"/>
    <w:rsid w:val="003B3F04"/>
    <w:rsid w:val="003B4550"/>
    <w:rsid w:val="003B53D9"/>
    <w:rsid w:val="003B540C"/>
    <w:rsid w:val="003B5482"/>
    <w:rsid w:val="003B5671"/>
    <w:rsid w:val="003B5FB1"/>
    <w:rsid w:val="003B6110"/>
    <w:rsid w:val="003B67E2"/>
    <w:rsid w:val="003B6DFD"/>
    <w:rsid w:val="003B6EE6"/>
    <w:rsid w:val="003B7AED"/>
    <w:rsid w:val="003B7E5D"/>
    <w:rsid w:val="003C0347"/>
    <w:rsid w:val="003C2364"/>
    <w:rsid w:val="003C28F3"/>
    <w:rsid w:val="003C2D6C"/>
    <w:rsid w:val="003C2E78"/>
    <w:rsid w:val="003C328B"/>
    <w:rsid w:val="003C33AF"/>
    <w:rsid w:val="003C346F"/>
    <w:rsid w:val="003C3478"/>
    <w:rsid w:val="003C3565"/>
    <w:rsid w:val="003C3611"/>
    <w:rsid w:val="003C36AB"/>
    <w:rsid w:val="003C3C51"/>
    <w:rsid w:val="003C4032"/>
    <w:rsid w:val="003C407C"/>
    <w:rsid w:val="003C4216"/>
    <w:rsid w:val="003C44DF"/>
    <w:rsid w:val="003C5A4C"/>
    <w:rsid w:val="003C6DB5"/>
    <w:rsid w:val="003C71DF"/>
    <w:rsid w:val="003C79E0"/>
    <w:rsid w:val="003D0C34"/>
    <w:rsid w:val="003D1DEA"/>
    <w:rsid w:val="003D1F77"/>
    <w:rsid w:val="003D22B9"/>
    <w:rsid w:val="003D23F1"/>
    <w:rsid w:val="003D23F8"/>
    <w:rsid w:val="003D2E5D"/>
    <w:rsid w:val="003D3045"/>
    <w:rsid w:val="003D3137"/>
    <w:rsid w:val="003D3A70"/>
    <w:rsid w:val="003D3AF5"/>
    <w:rsid w:val="003D3CA4"/>
    <w:rsid w:val="003D4D1A"/>
    <w:rsid w:val="003D4DA3"/>
    <w:rsid w:val="003D4E54"/>
    <w:rsid w:val="003D5217"/>
    <w:rsid w:val="003D53A1"/>
    <w:rsid w:val="003D564C"/>
    <w:rsid w:val="003D56D0"/>
    <w:rsid w:val="003D5F55"/>
    <w:rsid w:val="003D63E7"/>
    <w:rsid w:val="003D64AB"/>
    <w:rsid w:val="003D67CC"/>
    <w:rsid w:val="003D6F7F"/>
    <w:rsid w:val="003D7435"/>
    <w:rsid w:val="003D7B23"/>
    <w:rsid w:val="003D7B34"/>
    <w:rsid w:val="003E1064"/>
    <w:rsid w:val="003E106D"/>
    <w:rsid w:val="003E10AC"/>
    <w:rsid w:val="003E1E5A"/>
    <w:rsid w:val="003E1F42"/>
    <w:rsid w:val="003E2028"/>
    <w:rsid w:val="003E23E5"/>
    <w:rsid w:val="003E2627"/>
    <w:rsid w:val="003E3403"/>
    <w:rsid w:val="003E3F3E"/>
    <w:rsid w:val="003E4041"/>
    <w:rsid w:val="003E42A3"/>
    <w:rsid w:val="003E4CB2"/>
    <w:rsid w:val="003E515C"/>
    <w:rsid w:val="003E558C"/>
    <w:rsid w:val="003E606A"/>
    <w:rsid w:val="003E60A7"/>
    <w:rsid w:val="003E61DD"/>
    <w:rsid w:val="003E7726"/>
    <w:rsid w:val="003E77B3"/>
    <w:rsid w:val="003E7B12"/>
    <w:rsid w:val="003F00C6"/>
    <w:rsid w:val="003F08FB"/>
    <w:rsid w:val="003F0970"/>
    <w:rsid w:val="003F0D72"/>
    <w:rsid w:val="003F15FE"/>
    <w:rsid w:val="003F2471"/>
    <w:rsid w:val="003F2AD7"/>
    <w:rsid w:val="003F2D8F"/>
    <w:rsid w:val="003F2E71"/>
    <w:rsid w:val="003F329F"/>
    <w:rsid w:val="003F3A4F"/>
    <w:rsid w:val="003F3F3E"/>
    <w:rsid w:val="003F454E"/>
    <w:rsid w:val="003F5B99"/>
    <w:rsid w:val="003F5D5D"/>
    <w:rsid w:val="003F611F"/>
    <w:rsid w:val="003F642D"/>
    <w:rsid w:val="003F667E"/>
    <w:rsid w:val="003F6E1C"/>
    <w:rsid w:val="003F6F91"/>
    <w:rsid w:val="003F7215"/>
    <w:rsid w:val="003F73EF"/>
    <w:rsid w:val="003F7989"/>
    <w:rsid w:val="003F7DFA"/>
    <w:rsid w:val="004005C1"/>
    <w:rsid w:val="004006BF"/>
    <w:rsid w:val="00400837"/>
    <w:rsid w:val="00400AED"/>
    <w:rsid w:val="00400C67"/>
    <w:rsid w:val="00401119"/>
    <w:rsid w:val="00401A27"/>
    <w:rsid w:val="00401D7F"/>
    <w:rsid w:val="00401F19"/>
    <w:rsid w:val="004027A8"/>
    <w:rsid w:val="00402AAF"/>
    <w:rsid w:val="00402EBD"/>
    <w:rsid w:val="00405724"/>
    <w:rsid w:val="00405F40"/>
    <w:rsid w:val="004062E2"/>
    <w:rsid w:val="00406838"/>
    <w:rsid w:val="00406A4C"/>
    <w:rsid w:val="00406C7E"/>
    <w:rsid w:val="00407219"/>
    <w:rsid w:val="004075BF"/>
    <w:rsid w:val="00407700"/>
    <w:rsid w:val="00407B18"/>
    <w:rsid w:val="004104B0"/>
    <w:rsid w:val="0041183E"/>
    <w:rsid w:val="00411F78"/>
    <w:rsid w:val="00411FC6"/>
    <w:rsid w:val="00412AE6"/>
    <w:rsid w:val="0041315A"/>
    <w:rsid w:val="0041419A"/>
    <w:rsid w:val="0041435C"/>
    <w:rsid w:val="004144DD"/>
    <w:rsid w:val="004146EB"/>
    <w:rsid w:val="00414904"/>
    <w:rsid w:val="004151D9"/>
    <w:rsid w:val="00416346"/>
    <w:rsid w:val="00416642"/>
    <w:rsid w:val="004169AD"/>
    <w:rsid w:val="00416A3F"/>
    <w:rsid w:val="00417532"/>
    <w:rsid w:val="00417D6E"/>
    <w:rsid w:val="00417FDD"/>
    <w:rsid w:val="00420F17"/>
    <w:rsid w:val="0042165A"/>
    <w:rsid w:val="00421AF0"/>
    <w:rsid w:val="00422114"/>
    <w:rsid w:val="00422AA5"/>
    <w:rsid w:val="00422AE9"/>
    <w:rsid w:val="00423E2A"/>
    <w:rsid w:val="00423EFD"/>
    <w:rsid w:val="004240AA"/>
    <w:rsid w:val="0042453E"/>
    <w:rsid w:val="00424875"/>
    <w:rsid w:val="00424984"/>
    <w:rsid w:val="00424E06"/>
    <w:rsid w:val="00426455"/>
    <w:rsid w:val="00426630"/>
    <w:rsid w:val="004266B3"/>
    <w:rsid w:val="004268ED"/>
    <w:rsid w:val="00427090"/>
    <w:rsid w:val="00427462"/>
    <w:rsid w:val="00427A9E"/>
    <w:rsid w:val="00427F9B"/>
    <w:rsid w:val="004301BC"/>
    <w:rsid w:val="0043042B"/>
    <w:rsid w:val="004304CE"/>
    <w:rsid w:val="00430F3A"/>
    <w:rsid w:val="00431785"/>
    <w:rsid w:val="00431899"/>
    <w:rsid w:val="00431D20"/>
    <w:rsid w:val="00432D59"/>
    <w:rsid w:val="004333B4"/>
    <w:rsid w:val="00433591"/>
    <w:rsid w:val="00433D1E"/>
    <w:rsid w:val="004341D9"/>
    <w:rsid w:val="0043420A"/>
    <w:rsid w:val="0043478A"/>
    <w:rsid w:val="00434ECA"/>
    <w:rsid w:val="00435288"/>
    <w:rsid w:val="004354F0"/>
    <w:rsid w:val="00435B83"/>
    <w:rsid w:val="00436BD4"/>
    <w:rsid w:val="004373C0"/>
    <w:rsid w:val="00437A1B"/>
    <w:rsid w:val="00437D54"/>
    <w:rsid w:val="00437D7F"/>
    <w:rsid w:val="0044063D"/>
    <w:rsid w:val="004406AF"/>
    <w:rsid w:val="004406D3"/>
    <w:rsid w:val="00440731"/>
    <w:rsid w:val="004418AF"/>
    <w:rsid w:val="00441D07"/>
    <w:rsid w:val="00441EE9"/>
    <w:rsid w:val="00442018"/>
    <w:rsid w:val="004423DD"/>
    <w:rsid w:val="004426DB"/>
    <w:rsid w:val="00442BF6"/>
    <w:rsid w:val="00442F95"/>
    <w:rsid w:val="00443227"/>
    <w:rsid w:val="004446B8"/>
    <w:rsid w:val="00445326"/>
    <w:rsid w:val="004454A7"/>
    <w:rsid w:val="004456EC"/>
    <w:rsid w:val="00445921"/>
    <w:rsid w:val="0044657A"/>
    <w:rsid w:val="004466B2"/>
    <w:rsid w:val="00446A3C"/>
    <w:rsid w:val="00447255"/>
    <w:rsid w:val="00447272"/>
    <w:rsid w:val="00447964"/>
    <w:rsid w:val="004502ED"/>
    <w:rsid w:val="00450A16"/>
    <w:rsid w:val="00450AE6"/>
    <w:rsid w:val="00450DD4"/>
    <w:rsid w:val="004511DA"/>
    <w:rsid w:val="00451239"/>
    <w:rsid w:val="00451272"/>
    <w:rsid w:val="00451532"/>
    <w:rsid w:val="004519C2"/>
    <w:rsid w:val="00451D2E"/>
    <w:rsid w:val="004523C1"/>
    <w:rsid w:val="00452C5C"/>
    <w:rsid w:val="004531B4"/>
    <w:rsid w:val="004536E0"/>
    <w:rsid w:val="0045374A"/>
    <w:rsid w:val="00453D9E"/>
    <w:rsid w:val="0045491A"/>
    <w:rsid w:val="00454BC8"/>
    <w:rsid w:val="0045548E"/>
    <w:rsid w:val="00455FF4"/>
    <w:rsid w:val="00456116"/>
    <w:rsid w:val="00456B7F"/>
    <w:rsid w:val="00456EE4"/>
    <w:rsid w:val="0045753C"/>
    <w:rsid w:val="004575BD"/>
    <w:rsid w:val="0045767C"/>
    <w:rsid w:val="00457748"/>
    <w:rsid w:val="00457A52"/>
    <w:rsid w:val="004603C7"/>
    <w:rsid w:val="0046040F"/>
    <w:rsid w:val="00461253"/>
    <w:rsid w:val="0046154A"/>
    <w:rsid w:val="004617F1"/>
    <w:rsid w:val="00461D42"/>
    <w:rsid w:val="004626A4"/>
    <w:rsid w:val="004633C0"/>
    <w:rsid w:val="0046353A"/>
    <w:rsid w:val="004637E0"/>
    <w:rsid w:val="00464277"/>
    <w:rsid w:val="00464A7F"/>
    <w:rsid w:val="00464B5A"/>
    <w:rsid w:val="00464B86"/>
    <w:rsid w:val="00464C09"/>
    <w:rsid w:val="00464EEE"/>
    <w:rsid w:val="004652F7"/>
    <w:rsid w:val="004655CE"/>
    <w:rsid w:val="00465781"/>
    <w:rsid w:val="00465B54"/>
    <w:rsid w:val="00465B78"/>
    <w:rsid w:val="00466699"/>
    <w:rsid w:val="0046696D"/>
    <w:rsid w:val="00466F5A"/>
    <w:rsid w:val="00466F8D"/>
    <w:rsid w:val="0046745C"/>
    <w:rsid w:val="00467470"/>
    <w:rsid w:val="00467A1D"/>
    <w:rsid w:val="00467E28"/>
    <w:rsid w:val="004701AD"/>
    <w:rsid w:val="00470AAD"/>
    <w:rsid w:val="00471DF1"/>
    <w:rsid w:val="00471F0C"/>
    <w:rsid w:val="004726C0"/>
    <w:rsid w:val="00472FDA"/>
    <w:rsid w:val="00473458"/>
    <w:rsid w:val="004736B2"/>
    <w:rsid w:val="00473857"/>
    <w:rsid w:val="00473D1B"/>
    <w:rsid w:val="004749B7"/>
    <w:rsid w:val="00474E77"/>
    <w:rsid w:val="004751FA"/>
    <w:rsid w:val="00475554"/>
    <w:rsid w:val="00475927"/>
    <w:rsid w:val="004760C2"/>
    <w:rsid w:val="0047664F"/>
    <w:rsid w:val="00476694"/>
    <w:rsid w:val="00477079"/>
    <w:rsid w:val="0047779E"/>
    <w:rsid w:val="00477B73"/>
    <w:rsid w:val="00477EDA"/>
    <w:rsid w:val="004804BD"/>
    <w:rsid w:val="00480741"/>
    <w:rsid w:val="00480843"/>
    <w:rsid w:val="00480930"/>
    <w:rsid w:val="00481246"/>
    <w:rsid w:val="004814B7"/>
    <w:rsid w:val="00481521"/>
    <w:rsid w:val="004818BD"/>
    <w:rsid w:val="00481D0B"/>
    <w:rsid w:val="00482233"/>
    <w:rsid w:val="00482BC5"/>
    <w:rsid w:val="00482F86"/>
    <w:rsid w:val="0048364F"/>
    <w:rsid w:val="00483765"/>
    <w:rsid w:val="004843C9"/>
    <w:rsid w:val="0048472B"/>
    <w:rsid w:val="00484D30"/>
    <w:rsid w:val="00485165"/>
    <w:rsid w:val="0048577C"/>
    <w:rsid w:val="00485A8B"/>
    <w:rsid w:val="004905FA"/>
    <w:rsid w:val="004909FF"/>
    <w:rsid w:val="0049135B"/>
    <w:rsid w:val="00491DAD"/>
    <w:rsid w:val="00491FA9"/>
    <w:rsid w:val="004928D0"/>
    <w:rsid w:val="00492A2E"/>
    <w:rsid w:val="00492FDF"/>
    <w:rsid w:val="00493591"/>
    <w:rsid w:val="00493FC2"/>
    <w:rsid w:val="00494A57"/>
    <w:rsid w:val="00494BD6"/>
    <w:rsid w:val="0049550B"/>
    <w:rsid w:val="00495777"/>
    <w:rsid w:val="00495AF0"/>
    <w:rsid w:val="00495C41"/>
    <w:rsid w:val="00496397"/>
    <w:rsid w:val="00496723"/>
    <w:rsid w:val="00496759"/>
    <w:rsid w:val="00496B91"/>
    <w:rsid w:val="004978D6"/>
    <w:rsid w:val="00497B40"/>
    <w:rsid w:val="004A008B"/>
    <w:rsid w:val="004A1130"/>
    <w:rsid w:val="004A1217"/>
    <w:rsid w:val="004A1365"/>
    <w:rsid w:val="004A171E"/>
    <w:rsid w:val="004A1DF8"/>
    <w:rsid w:val="004A2BA0"/>
    <w:rsid w:val="004A2F6C"/>
    <w:rsid w:val="004A3B6B"/>
    <w:rsid w:val="004A464C"/>
    <w:rsid w:val="004A4694"/>
    <w:rsid w:val="004A4773"/>
    <w:rsid w:val="004A5337"/>
    <w:rsid w:val="004A539F"/>
    <w:rsid w:val="004A5F1A"/>
    <w:rsid w:val="004A69EB"/>
    <w:rsid w:val="004A6BAA"/>
    <w:rsid w:val="004A6C74"/>
    <w:rsid w:val="004A6CCC"/>
    <w:rsid w:val="004A6F7A"/>
    <w:rsid w:val="004A72F6"/>
    <w:rsid w:val="004B0670"/>
    <w:rsid w:val="004B068F"/>
    <w:rsid w:val="004B14BB"/>
    <w:rsid w:val="004B14C7"/>
    <w:rsid w:val="004B164B"/>
    <w:rsid w:val="004B2394"/>
    <w:rsid w:val="004B2419"/>
    <w:rsid w:val="004B282A"/>
    <w:rsid w:val="004B2B8E"/>
    <w:rsid w:val="004B2DB6"/>
    <w:rsid w:val="004B3163"/>
    <w:rsid w:val="004B362B"/>
    <w:rsid w:val="004B385A"/>
    <w:rsid w:val="004B3A87"/>
    <w:rsid w:val="004B48F9"/>
    <w:rsid w:val="004B4A08"/>
    <w:rsid w:val="004B4B5F"/>
    <w:rsid w:val="004B4CCF"/>
    <w:rsid w:val="004B5348"/>
    <w:rsid w:val="004B5DB6"/>
    <w:rsid w:val="004B6391"/>
    <w:rsid w:val="004B7160"/>
    <w:rsid w:val="004B7544"/>
    <w:rsid w:val="004B761C"/>
    <w:rsid w:val="004B762B"/>
    <w:rsid w:val="004B7F9B"/>
    <w:rsid w:val="004C0435"/>
    <w:rsid w:val="004C0FEE"/>
    <w:rsid w:val="004C10D9"/>
    <w:rsid w:val="004C19E4"/>
    <w:rsid w:val="004C1C73"/>
    <w:rsid w:val="004C1CEE"/>
    <w:rsid w:val="004C219A"/>
    <w:rsid w:val="004C245F"/>
    <w:rsid w:val="004C2CF2"/>
    <w:rsid w:val="004C41EE"/>
    <w:rsid w:val="004C44A8"/>
    <w:rsid w:val="004C6011"/>
    <w:rsid w:val="004C641F"/>
    <w:rsid w:val="004C683C"/>
    <w:rsid w:val="004C6BD7"/>
    <w:rsid w:val="004C6CA4"/>
    <w:rsid w:val="004C7B8A"/>
    <w:rsid w:val="004D0370"/>
    <w:rsid w:val="004D0724"/>
    <w:rsid w:val="004D07A3"/>
    <w:rsid w:val="004D07EC"/>
    <w:rsid w:val="004D0962"/>
    <w:rsid w:val="004D19DC"/>
    <w:rsid w:val="004D1AF8"/>
    <w:rsid w:val="004D2527"/>
    <w:rsid w:val="004D2AAA"/>
    <w:rsid w:val="004D300F"/>
    <w:rsid w:val="004D4459"/>
    <w:rsid w:val="004D4491"/>
    <w:rsid w:val="004D530B"/>
    <w:rsid w:val="004D549A"/>
    <w:rsid w:val="004D5616"/>
    <w:rsid w:val="004D574F"/>
    <w:rsid w:val="004D5F50"/>
    <w:rsid w:val="004D6282"/>
    <w:rsid w:val="004D6638"/>
    <w:rsid w:val="004D6973"/>
    <w:rsid w:val="004D72E6"/>
    <w:rsid w:val="004D744C"/>
    <w:rsid w:val="004D791A"/>
    <w:rsid w:val="004E0234"/>
    <w:rsid w:val="004E04B7"/>
    <w:rsid w:val="004E08C3"/>
    <w:rsid w:val="004E0903"/>
    <w:rsid w:val="004E0EF7"/>
    <w:rsid w:val="004E1A2C"/>
    <w:rsid w:val="004E1A88"/>
    <w:rsid w:val="004E30D0"/>
    <w:rsid w:val="004E3997"/>
    <w:rsid w:val="004E3C71"/>
    <w:rsid w:val="004E4A24"/>
    <w:rsid w:val="004E4C72"/>
    <w:rsid w:val="004E4D92"/>
    <w:rsid w:val="004E4E74"/>
    <w:rsid w:val="004E5B60"/>
    <w:rsid w:val="004E5D2C"/>
    <w:rsid w:val="004E6060"/>
    <w:rsid w:val="004E6079"/>
    <w:rsid w:val="004E6260"/>
    <w:rsid w:val="004E7222"/>
    <w:rsid w:val="004E7426"/>
    <w:rsid w:val="004E7693"/>
    <w:rsid w:val="004E7AEA"/>
    <w:rsid w:val="004E7E8E"/>
    <w:rsid w:val="004E7EC0"/>
    <w:rsid w:val="004F0D80"/>
    <w:rsid w:val="004F0E30"/>
    <w:rsid w:val="004F1022"/>
    <w:rsid w:val="004F17EE"/>
    <w:rsid w:val="004F358F"/>
    <w:rsid w:val="004F39BE"/>
    <w:rsid w:val="004F3BB1"/>
    <w:rsid w:val="004F47E8"/>
    <w:rsid w:val="004F5B0D"/>
    <w:rsid w:val="004F6222"/>
    <w:rsid w:val="004F6BAC"/>
    <w:rsid w:val="004F6C76"/>
    <w:rsid w:val="004F6D41"/>
    <w:rsid w:val="004F6D50"/>
    <w:rsid w:val="004F6D9C"/>
    <w:rsid w:val="004F7553"/>
    <w:rsid w:val="004F76A8"/>
    <w:rsid w:val="0050064D"/>
    <w:rsid w:val="00500D6E"/>
    <w:rsid w:val="00500F92"/>
    <w:rsid w:val="005011B0"/>
    <w:rsid w:val="005019A1"/>
    <w:rsid w:val="00502151"/>
    <w:rsid w:val="005024B7"/>
    <w:rsid w:val="005028DF"/>
    <w:rsid w:val="00503D9D"/>
    <w:rsid w:val="005042C2"/>
    <w:rsid w:val="00504484"/>
    <w:rsid w:val="005044AB"/>
    <w:rsid w:val="00504771"/>
    <w:rsid w:val="00504C0C"/>
    <w:rsid w:val="00504C92"/>
    <w:rsid w:val="00504E68"/>
    <w:rsid w:val="00505878"/>
    <w:rsid w:val="00505ED0"/>
    <w:rsid w:val="00505F6E"/>
    <w:rsid w:val="00506A79"/>
    <w:rsid w:val="00506CD5"/>
    <w:rsid w:val="00510AB1"/>
    <w:rsid w:val="00510AD9"/>
    <w:rsid w:val="00510B35"/>
    <w:rsid w:val="00510C85"/>
    <w:rsid w:val="00510EBF"/>
    <w:rsid w:val="00511729"/>
    <w:rsid w:val="00511DF0"/>
    <w:rsid w:val="00511F79"/>
    <w:rsid w:val="00512184"/>
    <w:rsid w:val="00512402"/>
    <w:rsid w:val="00512FFC"/>
    <w:rsid w:val="0051364F"/>
    <w:rsid w:val="00513967"/>
    <w:rsid w:val="0051463A"/>
    <w:rsid w:val="0051548F"/>
    <w:rsid w:val="00515E5D"/>
    <w:rsid w:val="005167BD"/>
    <w:rsid w:val="00516BD2"/>
    <w:rsid w:val="00516E3F"/>
    <w:rsid w:val="00516ECB"/>
    <w:rsid w:val="005175C1"/>
    <w:rsid w:val="005212BF"/>
    <w:rsid w:val="00521C47"/>
    <w:rsid w:val="0052254C"/>
    <w:rsid w:val="005232D5"/>
    <w:rsid w:val="0052346B"/>
    <w:rsid w:val="00523E47"/>
    <w:rsid w:val="00523EF9"/>
    <w:rsid w:val="00524109"/>
    <w:rsid w:val="00524EB0"/>
    <w:rsid w:val="00524F44"/>
    <w:rsid w:val="0052533A"/>
    <w:rsid w:val="00525346"/>
    <w:rsid w:val="00525A36"/>
    <w:rsid w:val="00526997"/>
    <w:rsid w:val="00526E58"/>
    <w:rsid w:val="00527B1B"/>
    <w:rsid w:val="00527F27"/>
    <w:rsid w:val="0053000C"/>
    <w:rsid w:val="0053047A"/>
    <w:rsid w:val="005311B8"/>
    <w:rsid w:val="00531861"/>
    <w:rsid w:val="00531D7F"/>
    <w:rsid w:val="00531E3C"/>
    <w:rsid w:val="00532065"/>
    <w:rsid w:val="00532490"/>
    <w:rsid w:val="0053263C"/>
    <w:rsid w:val="00533438"/>
    <w:rsid w:val="00533BE7"/>
    <w:rsid w:val="00534453"/>
    <w:rsid w:val="00534DBE"/>
    <w:rsid w:val="00534DDB"/>
    <w:rsid w:val="005352B0"/>
    <w:rsid w:val="0053583A"/>
    <w:rsid w:val="00535C4E"/>
    <w:rsid w:val="005362B0"/>
    <w:rsid w:val="00536762"/>
    <w:rsid w:val="00536E89"/>
    <w:rsid w:val="00537730"/>
    <w:rsid w:val="0053785A"/>
    <w:rsid w:val="00537935"/>
    <w:rsid w:val="00537F5E"/>
    <w:rsid w:val="0054037E"/>
    <w:rsid w:val="00541800"/>
    <w:rsid w:val="0054290B"/>
    <w:rsid w:val="005434EA"/>
    <w:rsid w:val="00543D6F"/>
    <w:rsid w:val="00544753"/>
    <w:rsid w:val="00545587"/>
    <w:rsid w:val="00545921"/>
    <w:rsid w:val="00545E95"/>
    <w:rsid w:val="005462EA"/>
    <w:rsid w:val="00546706"/>
    <w:rsid w:val="0054798F"/>
    <w:rsid w:val="00550041"/>
    <w:rsid w:val="0055091B"/>
    <w:rsid w:val="0055091E"/>
    <w:rsid w:val="00551781"/>
    <w:rsid w:val="00551884"/>
    <w:rsid w:val="00551B74"/>
    <w:rsid w:val="00551BF2"/>
    <w:rsid w:val="00551DDC"/>
    <w:rsid w:val="00551DF9"/>
    <w:rsid w:val="00552046"/>
    <w:rsid w:val="00552258"/>
    <w:rsid w:val="00552EC7"/>
    <w:rsid w:val="00553034"/>
    <w:rsid w:val="005533E4"/>
    <w:rsid w:val="00553D84"/>
    <w:rsid w:val="00553F4D"/>
    <w:rsid w:val="005540EF"/>
    <w:rsid w:val="005548D9"/>
    <w:rsid w:val="005553FD"/>
    <w:rsid w:val="005558D8"/>
    <w:rsid w:val="00555CB7"/>
    <w:rsid w:val="005560AF"/>
    <w:rsid w:val="00557D3A"/>
    <w:rsid w:val="00557E55"/>
    <w:rsid w:val="00557E6B"/>
    <w:rsid w:val="00560042"/>
    <w:rsid w:val="00560389"/>
    <w:rsid w:val="005610D0"/>
    <w:rsid w:val="00562A1E"/>
    <w:rsid w:val="00562DDD"/>
    <w:rsid w:val="00563B95"/>
    <w:rsid w:val="00563CAD"/>
    <w:rsid w:val="005641AE"/>
    <w:rsid w:val="00564374"/>
    <w:rsid w:val="005645E1"/>
    <w:rsid w:val="005651BA"/>
    <w:rsid w:val="0056578B"/>
    <w:rsid w:val="00565A5E"/>
    <w:rsid w:val="00565BE8"/>
    <w:rsid w:val="00565D99"/>
    <w:rsid w:val="005668F1"/>
    <w:rsid w:val="00566AAF"/>
    <w:rsid w:val="00566C5D"/>
    <w:rsid w:val="00566CB8"/>
    <w:rsid w:val="00566EC8"/>
    <w:rsid w:val="005679BE"/>
    <w:rsid w:val="00567BD8"/>
    <w:rsid w:val="00570392"/>
    <w:rsid w:val="005705C4"/>
    <w:rsid w:val="00570CC0"/>
    <w:rsid w:val="00570D81"/>
    <w:rsid w:val="00571006"/>
    <w:rsid w:val="005711DA"/>
    <w:rsid w:val="00571FB5"/>
    <w:rsid w:val="0057396D"/>
    <w:rsid w:val="00573BF0"/>
    <w:rsid w:val="00573D96"/>
    <w:rsid w:val="00573F20"/>
    <w:rsid w:val="0057603B"/>
    <w:rsid w:val="00576AB7"/>
    <w:rsid w:val="00576B0C"/>
    <w:rsid w:val="00576F95"/>
    <w:rsid w:val="0057723A"/>
    <w:rsid w:val="00577329"/>
    <w:rsid w:val="00577F86"/>
    <w:rsid w:val="00577FA2"/>
    <w:rsid w:val="00580609"/>
    <w:rsid w:val="0058164D"/>
    <w:rsid w:val="005816F5"/>
    <w:rsid w:val="00581DA9"/>
    <w:rsid w:val="00581E59"/>
    <w:rsid w:val="00581F47"/>
    <w:rsid w:val="005822A4"/>
    <w:rsid w:val="0058341D"/>
    <w:rsid w:val="00583644"/>
    <w:rsid w:val="00584E3F"/>
    <w:rsid w:val="0058536E"/>
    <w:rsid w:val="0058571F"/>
    <w:rsid w:val="00585F31"/>
    <w:rsid w:val="0058623A"/>
    <w:rsid w:val="0058640A"/>
    <w:rsid w:val="0058685D"/>
    <w:rsid w:val="005872A1"/>
    <w:rsid w:val="00587CC1"/>
    <w:rsid w:val="005901BE"/>
    <w:rsid w:val="00590379"/>
    <w:rsid w:val="0059040B"/>
    <w:rsid w:val="00590472"/>
    <w:rsid w:val="005906AC"/>
    <w:rsid w:val="00590CE4"/>
    <w:rsid w:val="005911B7"/>
    <w:rsid w:val="00591227"/>
    <w:rsid w:val="005913B7"/>
    <w:rsid w:val="00591466"/>
    <w:rsid w:val="005917B9"/>
    <w:rsid w:val="005924AA"/>
    <w:rsid w:val="0059265F"/>
    <w:rsid w:val="00592CF5"/>
    <w:rsid w:val="00592DB5"/>
    <w:rsid w:val="00592E04"/>
    <w:rsid w:val="00593543"/>
    <w:rsid w:val="00593A3F"/>
    <w:rsid w:val="00594065"/>
    <w:rsid w:val="00594131"/>
    <w:rsid w:val="0059426A"/>
    <w:rsid w:val="00594C1E"/>
    <w:rsid w:val="00594DD1"/>
    <w:rsid w:val="00595BDE"/>
    <w:rsid w:val="00595EDA"/>
    <w:rsid w:val="00595F04"/>
    <w:rsid w:val="00596F2C"/>
    <w:rsid w:val="005974CF"/>
    <w:rsid w:val="0059763E"/>
    <w:rsid w:val="005976F4"/>
    <w:rsid w:val="00597A50"/>
    <w:rsid w:val="005A06C8"/>
    <w:rsid w:val="005A0BD7"/>
    <w:rsid w:val="005A1190"/>
    <w:rsid w:val="005A152D"/>
    <w:rsid w:val="005A1E5F"/>
    <w:rsid w:val="005A26DE"/>
    <w:rsid w:val="005A3869"/>
    <w:rsid w:val="005A41A9"/>
    <w:rsid w:val="005A4C36"/>
    <w:rsid w:val="005A4D58"/>
    <w:rsid w:val="005A4FFF"/>
    <w:rsid w:val="005A5428"/>
    <w:rsid w:val="005A5680"/>
    <w:rsid w:val="005A5697"/>
    <w:rsid w:val="005A5F5E"/>
    <w:rsid w:val="005A5FFA"/>
    <w:rsid w:val="005A7D8A"/>
    <w:rsid w:val="005B005D"/>
    <w:rsid w:val="005B02AC"/>
    <w:rsid w:val="005B04C3"/>
    <w:rsid w:val="005B055E"/>
    <w:rsid w:val="005B09EF"/>
    <w:rsid w:val="005B1D59"/>
    <w:rsid w:val="005B2BC0"/>
    <w:rsid w:val="005B3527"/>
    <w:rsid w:val="005B3D70"/>
    <w:rsid w:val="005B4228"/>
    <w:rsid w:val="005B43C1"/>
    <w:rsid w:val="005B43CE"/>
    <w:rsid w:val="005B499B"/>
    <w:rsid w:val="005B51E0"/>
    <w:rsid w:val="005B55EA"/>
    <w:rsid w:val="005B5AD0"/>
    <w:rsid w:val="005B5BFF"/>
    <w:rsid w:val="005B5FFF"/>
    <w:rsid w:val="005B6330"/>
    <w:rsid w:val="005B6536"/>
    <w:rsid w:val="005B68B6"/>
    <w:rsid w:val="005B6C47"/>
    <w:rsid w:val="005B6D97"/>
    <w:rsid w:val="005B6E7E"/>
    <w:rsid w:val="005B6F88"/>
    <w:rsid w:val="005B7354"/>
    <w:rsid w:val="005C0AF7"/>
    <w:rsid w:val="005C0D1E"/>
    <w:rsid w:val="005C101E"/>
    <w:rsid w:val="005C1501"/>
    <w:rsid w:val="005C1709"/>
    <w:rsid w:val="005C1AE7"/>
    <w:rsid w:val="005C1C90"/>
    <w:rsid w:val="005C233A"/>
    <w:rsid w:val="005C23E3"/>
    <w:rsid w:val="005C24A5"/>
    <w:rsid w:val="005C2529"/>
    <w:rsid w:val="005C2EE5"/>
    <w:rsid w:val="005C33D2"/>
    <w:rsid w:val="005C38E4"/>
    <w:rsid w:val="005C3973"/>
    <w:rsid w:val="005C3BD3"/>
    <w:rsid w:val="005C3D99"/>
    <w:rsid w:val="005C41B2"/>
    <w:rsid w:val="005C421E"/>
    <w:rsid w:val="005C427B"/>
    <w:rsid w:val="005C5828"/>
    <w:rsid w:val="005C5AE2"/>
    <w:rsid w:val="005C60CE"/>
    <w:rsid w:val="005C621A"/>
    <w:rsid w:val="005C67D9"/>
    <w:rsid w:val="005C67EE"/>
    <w:rsid w:val="005C68C2"/>
    <w:rsid w:val="005C69A2"/>
    <w:rsid w:val="005C6C4F"/>
    <w:rsid w:val="005C7536"/>
    <w:rsid w:val="005C785E"/>
    <w:rsid w:val="005C7965"/>
    <w:rsid w:val="005C7AD0"/>
    <w:rsid w:val="005D11D5"/>
    <w:rsid w:val="005D1A47"/>
    <w:rsid w:val="005D1BED"/>
    <w:rsid w:val="005D1C4A"/>
    <w:rsid w:val="005D1CAD"/>
    <w:rsid w:val="005D24D0"/>
    <w:rsid w:val="005D291A"/>
    <w:rsid w:val="005D3574"/>
    <w:rsid w:val="005D42C8"/>
    <w:rsid w:val="005D512C"/>
    <w:rsid w:val="005D5389"/>
    <w:rsid w:val="005D59E5"/>
    <w:rsid w:val="005D5CB5"/>
    <w:rsid w:val="005D5DBA"/>
    <w:rsid w:val="005D6FA1"/>
    <w:rsid w:val="005D7538"/>
    <w:rsid w:val="005E00E7"/>
    <w:rsid w:val="005E05FA"/>
    <w:rsid w:val="005E0752"/>
    <w:rsid w:val="005E07F1"/>
    <w:rsid w:val="005E0DB7"/>
    <w:rsid w:val="005E15C0"/>
    <w:rsid w:val="005E1B43"/>
    <w:rsid w:val="005E1B5A"/>
    <w:rsid w:val="005E2556"/>
    <w:rsid w:val="005E350C"/>
    <w:rsid w:val="005E353D"/>
    <w:rsid w:val="005E4A6B"/>
    <w:rsid w:val="005E4EEE"/>
    <w:rsid w:val="005E6756"/>
    <w:rsid w:val="005E67B4"/>
    <w:rsid w:val="005E69EB"/>
    <w:rsid w:val="005E6C5D"/>
    <w:rsid w:val="005E7EBD"/>
    <w:rsid w:val="005F017C"/>
    <w:rsid w:val="005F02AC"/>
    <w:rsid w:val="005F0476"/>
    <w:rsid w:val="005F04DD"/>
    <w:rsid w:val="005F1242"/>
    <w:rsid w:val="005F1607"/>
    <w:rsid w:val="005F1914"/>
    <w:rsid w:val="005F22F1"/>
    <w:rsid w:val="005F3694"/>
    <w:rsid w:val="005F3850"/>
    <w:rsid w:val="005F3A90"/>
    <w:rsid w:val="005F3CA6"/>
    <w:rsid w:val="005F3DCB"/>
    <w:rsid w:val="005F462F"/>
    <w:rsid w:val="005F49B4"/>
    <w:rsid w:val="005F4AAD"/>
    <w:rsid w:val="005F4D17"/>
    <w:rsid w:val="005F4D28"/>
    <w:rsid w:val="005F5173"/>
    <w:rsid w:val="005F6300"/>
    <w:rsid w:val="005F645E"/>
    <w:rsid w:val="005F68F5"/>
    <w:rsid w:val="005F697D"/>
    <w:rsid w:val="005F6A59"/>
    <w:rsid w:val="005F6D4D"/>
    <w:rsid w:val="005F70C2"/>
    <w:rsid w:val="00600A22"/>
    <w:rsid w:val="00600B1A"/>
    <w:rsid w:val="006011B7"/>
    <w:rsid w:val="006014A2"/>
    <w:rsid w:val="00601831"/>
    <w:rsid w:val="00601A2C"/>
    <w:rsid w:val="00601BB4"/>
    <w:rsid w:val="00601BD6"/>
    <w:rsid w:val="00601D79"/>
    <w:rsid w:val="00602E2E"/>
    <w:rsid w:val="00602FBD"/>
    <w:rsid w:val="00603361"/>
    <w:rsid w:val="006036F8"/>
    <w:rsid w:val="0060411D"/>
    <w:rsid w:val="00604120"/>
    <w:rsid w:val="00604314"/>
    <w:rsid w:val="00604C1C"/>
    <w:rsid w:val="00604E90"/>
    <w:rsid w:val="006052AE"/>
    <w:rsid w:val="00605EEE"/>
    <w:rsid w:val="0060615D"/>
    <w:rsid w:val="006066C0"/>
    <w:rsid w:val="006068C0"/>
    <w:rsid w:val="00607020"/>
    <w:rsid w:val="0060703C"/>
    <w:rsid w:val="006073D5"/>
    <w:rsid w:val="0060749A"/>
    <w:rsid w:val="00607D5A"/>
    <w:rsid w:val="00607F71"/>
    <w:rsid w:val="00610559"/>
    <w:rsid w:val="006123D4"/>
    <w:rsid w:val="006125A7"/>
    <w:rsid w:val="00613374"/>
    <w:rsid w:val="006136B1"/>
    <w:rsid w:val="00614431"/>
    <w:rsid w:val="00614542"/>
    <w:rsid w:val="00614657"/>
    <w:rsid w:val="006148B0"/>
    <w:rsid w:val="00614990"/>
    <w:rsid w:val="00614C8E"/>
    <w:rsid w:val="00614EE4"/>
    <w:rsid w:val="0061596A"/>
    <w:rsid w:val="00615D99"/>
    <w:rsid w:val="00616237"/>
    <w:rsid w:val="00616FC9"/>
    <w:rsid w:val="006172AF"/>
    <w:rsid w:val="006173E0"/>
    <w:rsid w:val="0061750E"/>
    <w:rsid w:val="00617AAB"/>
    <w:rsid w:val="00620342"/>
    <w:rsid w:val="006203BD"/>
    <w:rsid w:val="00620420"/>
    <w:rsid w:val="00620C33"/>
    <w:rsid w:val="00620D35"/>
    <w:rsid w:val="00620E90"/>
    <w:rsid w:val="0062132D"/>
    <w:rsid w:val="0062198C"/>
    <w:rsid w:val="00621993"/>
    <w:rsid w:val="00621D6B"/>
    <w:rsid w:val="00622674"/>
    <w:rsid w:val="006236AE"/>
    <w:rsid w:val="00623B92"/>
    <w:rsid w:val="00623DC5"/>
    <w:rsid w:val="00623F45"/>
    <w:rsid w:val="00625005"/>
    <w:rsid w:val="00625340"/>
    <w:rsid w:val="00625753"/>
    <w:rsid w:val="00625BBC"/>
    <w:rsid w:val="00626713"/>
    <w:rsid w:val="00627043"/>
    <w:rsid w:val="00630000"/>
    <w:rsid w:val="006302A7"/>
    <w:rsid w:val="006303D4"/>
    <w:rsid w:val="00630971"/>
    <w:rsid w:val="0063098E"/>
    <w:rsid w:val="006312D3"/>
    <w:rsid w:val="00631BA0"/>
    <w:rsid w:val="0063204E"/>
    <w:rsid w:val="006323DC"/>
    <w:rsid w:val="006326FE"/>
    <w:rsid w:val="006328B7"/>
    <w:rsid w:val="006333C4"/>
    <w:rsid w:val="006333EF"/>
    <w:rsid w:val="0063369D"/>
    <w:rsid w:val="006336B0"/>
    <w:rsid w:val="006338F6"/>
    <w:rsid w:val="00634110"/>
    <w:rsid w:val="00634741"/>
    <w:rsid w:val="00634EF8"/>
    <w:rsid w:val="00635477"/>
    <w:rsid w:val="00635BC1"/>
    <w:rsid w:val="0063606A"/>
    <w:rsid w:val="00636EEB"/>
    <w:rsid w:val="00637959"/>
    <w:rsid w:val="00640022"/>
    <w:rsid w:val="006400E6"/>
    <w:rsid w:val="006415ED"/>
    <w:rsid w:val="0064162B"/>
    <w:rsid w:val="00641B0C"/>
    <w:rsid w:val="00641C32"/>
    <w:rsid w:val="00642862"/>
    <w:rsid w:val="00642928"/>
    <w:rsid w:val="0064398A"/>
    <w:rsid w:val="00643D30"/>
    <w:rsid w:val="00644407"/>
    <w:rsid w:val="0064590A"/>
    <w:rsid w:val="00645997"/>
    <w:rsid w:val="00645CEA"/>
    <w:rsid w:val="00646132"/>
    <w:rsid w:val="00646662"/>
    <w:rsid w:val="00647F65"/>
    <w:rsid w:val="006500C6"/>
    <w:rsid w:val="00650B22"/>
    <w:rsid w:val="00650B53"/>
    <w:rsid w:val="00651081"/>
    <w:rsid w:val="0065153C"/>
    <w:rsid w:val="006519F4"/>
    <w:rsid w:val="00652096"/>
    <w:rsid w:val="006529E0"/>
    <w:rsid w:val="0065305A"/>
    <w:rsid w:val="0065352E"/>
    <w:rsid w:val="006536C7"/>
    <w:rsid w:val="00654399"/>
    <w:rsid w:val="00654F5E"/>
    <w:rsid w:val="00655501"/>
    <w:rsid w:val="0065566B"/>
    <w:rsid w:val="00655868"/>
    <w:rsid w:val="00656220"/>
    <w:rsid w:val="00656DFB"/>
    <w:rsid w:val="0065748B"/>
    <w:rsid w:val="00657C81"/>
    <w:rsid w:val="00657DF3"/>
    <w:rsid w:val="0066068F"/>
    <w:rsid w:val="0066090A"/>
    <w:rsid w:val="0066100F"/>
    <w:rsid w:val="00661558"/>
    <w:rsid w:val="00661B6D"/>
    <w:rsid w:val="00661D01"/>
    <w:rsid w:val="00661D5D"/>
    <w:rsid w:val="0066235A"/>
    <w:rsid w:val="00662428"/>
    <w:rsid w:val="00662472"/>
    <w:rsid w:val="00662740"/>
    <w:rsid w:val="00662B45"/>
    <w:rsid w:val="00662DCC"/>
    <w:rsid w:val="00662DD9"/>
    <w:rsid w:val="00663491"/>
    <w:rsid w:val="0066396D"/>
    <w:rsid w:val="00664539"/>
    <w:rsid w:val="00664FBF"/>
    <w:rsid w:val="00665703"/>
    <w:rsid w:val="00665774"/>
    <w:rsid w:val="00665E03"/>
    <w:rsid w:val="006667BC"/>
    <w:rsid w:val="006667D1"/>
    <w:rsid w:val="00666965"/>
    <w:rsid w:val="00666D19"/>
    <w:rsid w:val="0066726F"/>
    <w:rsid w:val="00667A94"/>
    <w:rsid w:val="00667EDE"/>
    <w:rsid w:val="00670174"/>
    <w:rsid w:val="006710E4"/>
    <w:rsid w:val="006711CA"/>
    <w:rsid w:val="006713C1"/>
    <w:rsid w:val="00671529"/>
    <w:rsid w:val="0067199A"/>
    <w:rsid w:val="00672D42"/>
    <w:rsid w:val="00673A47"/>
    <w:rsid w:val="00673A6C"/>
    <w:rsid w:val="006745BB"/>
    <w:rsid w:val="00674787"/>
    <w:rsid w:val="006749B7"/>
    <w:rsid w:val="0067516A"/>
    <w:rsid w:val="00675F31"/>
    <w:rsid w:val="0067654C"/>
    <w:rsid w:val="00676836"/>
    <w:rsid w:val="00676B8D"/>
    <w:rsid w:val="00676E07"/>
    <w:rsid w:val="00677B5B"/>
    <w:rsid w:val="00677EFE"/>
    <w:rsid w:val="0068053D"/>
    <w:rsid w:val="00680CAD"/>
    <w:rsid w:val="00681B77"/>
    <w:rsid w:val="00681CF1"/>
    <w:rsid w:val="00682496"/>
    <w:rsid w:val="006825B3"/>
    <w:rsid w:val="006828F6"/>
    <w:rsid w:val="00682D40"/>
    <w:rsid w:val="00682DE9"/>
    <w:rsid w:val="00683700"/>
    <w:rsid w:val="00683D33"/>
    <w:rsid w:val="00683D80"/>
    <w:rsid w:val="00684121"/>
    <w:rsid w:val="0068424B"/>
    <w:rsid w:val="00684329"/>
    <w:rsid w:val="00684A13"/>
    <w:rsid w:val="00684A5D"/>
    <w:rsid w:val="00684C23"/>
    <w:rsid w:val="00684D41"/>
    <w:rsid w:val="00684DA2"/>
    <w:rsid w:val="00685096"/>
    <w:rsid w:val="00686179"/>
    <w:rsid w:val="006865BD"/>
    <w:rsid w:val="006867D9"/>
    <w:rsid w:val="0068682C"/>
    <w:rsid w:val="00686998"/>
    <w:rsid w:val="00686DF6"/>
    <w:rsid w:val="00686E53"/>
    <w:rsid w:val="0068702A"/>
    <w:rsid w:val="00687400"/>
    <w:rsid w:val="00687678"/>
    <w:rsid w:val="0069111E"/>
    <w:rsid w:val="006923F6"/>
    <w:rsid w:val="0069318F"/>
    <w:rsid w:val="006932FD"/>
    <w:rsid w:val="00693C00"/>
    <w:rsid w:val="00694B45"/>
    <w:rsid w:val="00694BB7"/>
    <w:rsid w:val="00695067"/>
    <w:rsid w:val="00695280"/>
    <w:rsid w:val="00695285"/>
    <w:rsid w:val="00695EE5"/>
    <w:rsid w:val="00696737"/>
    <w:rsid w:val="00696B89"/>
    <w:rsid w:val="00697416"/>
    <w:rsid w:val="00697DFD"/>
    <w:rsid w:val="006A028F"/>
    <w:rsid w:val="006A0466"/>
    <w:rsid w:val="006A0AE1"/>
    <w:rsid w:val="006A0BFA"/>
    <w:rsid w:val="006A16F5"/>
    <w:rsid w:val="006A1723"/>
    <w:rsid w:val="006A1B36"/>
    <w:rsid w:val="006A1FB7"/>
    <w:rsid w:val="006A1FDA"/>
    <w:rsid w:val="006A20D5"/>
    <w:rsid w:val="006A2473"/>
    <w:rsid w:val="006A2B9C"/>
    <w:rsid w:val="006A2BCF"/>
    <w:rsid w:val="006A2BE9"/>
    <w:rsid w:val="006A31AE"/>
    <w:rsid w:val="006A3333"/>
    <w:rsid w:val="006A35AF"/>
    <w:rsid w:val="006A3749"/>
    <w:rsid w:val="006A3C57"/>
    <w:rsid w:val="006A3C7E"/>
    <w:rsid w:val="006A4E58"/>
    <w:rsid w:val="006A52F2"/>
    <w:rsid w:val="006A5323"/>
    <w:rsid w:val="006A588E"/>
    <w:rsid w:val="006A5A9C"/>
    <w:rsid w:val="006A5D9B"/>
    <w:rsid w:val="006A5EED"/>
    <w:rsid w:val="006A66B2"/>
    <w:rsid w:val="006A6ACD"/>
    <w:rsid w:val="006A6D97"/>
    <w:rsid w:val="006A7522"/>
    <w:rsid w:val="006A762C"/>
    <w:rsid w:val="006A788D"/>
    <w:rsid w:val="006A79F9"/>
    <w:rsid w:val="006B0862"/>
    <w:rsid w:val="006B0972"/>
    <w:rsid w:val="006B0B11"/>
    <w:rsid w:val="006B118D"/>
    <w:rsid w:val="006B123A"/>
    <w:rsid w:val="006B14FF"/>
    <w:rsid w:val="006B163A"/>
    <w:rsid w:val="006B1EE1"/>
    <w:rsid w:val="006B3490"/>
    <w:rsid w:val="006B34C2"/>
    <w:rsid w:val="006B3952"/>
    <w:rsid w:val="006B3C28"/>
    <w:rsid w:val="006B4160"/>
    <w:rsid w:val="006B48DB"/>
    <w:rsid w:val="006B512E"/>
    <w:rsid w:val="006B566F"/>
    <w:rsid w:val="006B6C5E"/>
    <w:rsid w:val="006B7E92"/>
    <w:rsid w:val="006B7F55"/>
    <w:rsid w:val="006C0067"/>
    <w:rsid w:val="006C09A3"/>
    <w:rsid w:val="006C0D02"/>
    <w:rsid w:val="006C0DAC"/>
    <w:rsid w:val="006C1080"/>
    <w:rsid w:val="006C1F59"/>
    <w:rsid w:val="006C205B"/>
    <w:rsid w:val="006C2B34"/>
    <w:rsid w:val="006C2C4C"/>
    <w:rsid w:val="006C2F74"/>
    <w:rsid w:val="006C39F6"/>
    <w:rsid w:val="006C3C0C"/>
    <w:rsid w:val="006C4482"/>
    <w:rsid w:val="006C4C08"/>
    <w:rsid w:val="006C5A3A"/>
    <w:rsid w:val="006C5BC4"/>
    <w:rsid w:val="006C6152"/>
    <w:rsid w:val="006C63F1"/>
    <w:rsid w:val="006C647F"/>
    <w:rsid w:val="006C68C1"/>
    <w:rsid w:val="006C7828"/>
    <w:rsid w:val="006C7C00"/>
    <w:rsid w:val="006D00A2"/>
    <w:rsid w:val="006D19D9"/>
    <w:rsid w:val="006D2397"/>
    <w:rsid w:val="006D2A43"/>
    <w:rsid w:val="006D2E98"/>
    <w:rsid w:val="006D30BE"/>
    <w:rsid w:val="006D361E"/>
    <w:rsid w:val="006D3779"/>
    <w:rsid w:val="006D3BAD"/>
    <w:rsid w:val="006D4BC1"/>
    <w:rsid w:val="006D4D1E"/>
    <w:rsid w:val="006D51B7"/>
    <w:rsid w:val="006D52C8"/>
    <w:rsid w:val="006D5DA3"/>
    <w:rsid w:val="006D640B"/>
    <w:rsid w:val="006D6C0B"/>
    <w:rsid w:val="006D6E95"/>
    <w:rsid w:val="006D700B"/>
    <w:rsid w:val="006D7314"/>
    <w:rsid w:val="006D7551"/>
    <w:rsid w:val="006E0815"/>
    <w:rsid w:val="006E0E42"/>
    <w:rsid w:val="006E12E7"/>
    <w:rsid w:val="006E1CC5"/>
    <w:rsid w:val="006E214A"/>
    <w:rsid w:val="006E2188"/>
    <w:rsid w:val="006E263B"/>
    <w:rsid w:val="006E2C74"/>
    <w:rsid w:val="006E2E63"/>
    <w:rsid w:val="006E3065"/>
    <w:rsid w:val="006E335B"/>
    <w:rsid w:val="006E3E96"/>
    <w:rsid w:val="006E4784"/>
    <w:rsid w:val="006E4A34"/>
    <w:rsid w:val="006E5424"/>
    <w:rsid w:val="006E647A"/>
    <w:rsid w:val="006E75EE"/>
    <w:rsid w:val="006E7CC5"/>
    <w:rsid w:val="006E7D09"/>
    <w:rsid w:val="006E7F0F"/>
    <w:rsid w:val="006F0B47"/>
    <w:rsid w:val="006F0C19"/>
    <w:rsid w:val="006F0DAC"/>
    <w:rsid w:val="006F1051"/>
    <w:rsid w:val="006F1A7D"/>
    <w:rsid w:val="006F1D47"/>
    <w:rsid w:val="006F1DE8"/>
    <w:rsid w:val="006F1F5A"/>
    <w:rsid w:val="006F20F9"/>
    <w:rsid w:val="006F22DD"/>
    <w:rsid w:val="006F23F5"/>
    <w:rsid w:val="006F2493"/>
    <w:rsid w:val="006F289E"/>
    <w:rsid w:val="006F3689"/>
    <w:rsid w:val="006F3727"/>
    <w:rsid w:val="006F39D7"/>
    <w:rsid w:val="006F3CAE"/>
    <w:rsid w:val="006F3DE2"/>
    <w:rsid w:val="006F4488"/>
    <w:rsid w:val="006F455A"/>
    <w:rsid w:val="006F49FC"/>
    <w:rsid w:val="006F4A24"/>
    <w:rsid w:val="006F4B76"/>
    <w:rsid w:val="006F5BD0"/>
    <w:rsid w:val="006F66D4"/>
    <w:rsid w:val="006F6C59"/>
    <w:rsid w:val="006F6E6F"/>
    <w:rsid w:val="006F76A2"/>
    <w:rsid w:val="006F7E65"/>
    <w:rsid w:val="00700184"/>
    <w:rsid w:val="00700264"/>
    <w:rsid w:val="0070054C"/>
    <w:rsid w:val="007006FC"/>
    <w:rsid w:val="00700BD1"/>
    <w:rsid w:val="00701295"/>
    <w:rsid w:val="00701866"/>
    <w:rsid w:val="007019F1"/>
    <w:rsid w:val="00701B0F"/>
    <w:rsid w:val="00701C9D"/>
    <w:rsid w:val="0070216C"/>
    <w:rsid w:val="007038F7"/>
    <w:rsid w:val="0070398C"/>
    <w:rsid w:val="00703AC1"/>
    <w:rsid w:val="0070601A"/>
    <w:rsid w:val="007063E0"/>
    <w:rsid w:val="00706609"/>
    <w:rsid w:val="00707778"/>
    <w:rsid w:val="00707A90"/>
    <w:rsid w:val="0071020C"/>
    <w:rsid w:val="0071035F"/>
    <w:rsid w:val="007106E3"/>
    <w:rsid w:val="00710AF2"/>
    <w:rsid w:val="007114B8"/>
    <w:rsid w:val="0071150A"/>
    <w:rsid w:val="00711F20"/>
    <w:rsid w:val="007125CE"/>
    <w:rsid w:val="00712EFE"/>
    <w:rsid w:val="00713306"/>
    <w:rsid w:val="0071453A"/>
    <w:rsid w:val="00714A1A"/>
    <w:rsid w:val="00714B1B"/>
    <w:rsid w:val="00715295"/>
    <w:rsid w:val="007155F9"/>
    <w:rsid w:val="00715CD6"/>
    <w:rsid w:val="00716314"/>
    <w:rsid w:val="00716748"/>
    <w:rsid w:val="00717940"/>
    <w:rsid w:val="00717AE5"/>
    <w:rsid w:val="00717E56"/>
    <w:rsid w:val="007206CF"/>
    <w:rsid w:val="00720E07"/>
    <w:rsid w:val="00720FEA"/>
    <w:rsid w:val="00721E62"/>
    <w:rsid w:val="00721EDA"/>
    <w:rsid w:val="0072218E"/>
    <w:rsid w:val="00722C91"/>
    <w:rsid w:val="0072399C"/>
    <w:rsid w:val="00724222"/>
    <w:rsid w:val="0072440B"/>
    <w:rsid w:val="00724712"/>
    <w:rsid w:val="00725A0F"/>
    <w:rsid w:val="00725E13"/>
    <w:rsid w:val="00726438"/>
    <w:rsid w:val="007265F5"/>
    <w:rsid w:val="007268F9"/>
    <w:rsid w:val="00727B65"/>
    <w:rsid w:val="00727F78"/>
    <w:rsid w:val="007300B3"/>
    <w:rsid w:val="007301AF"/>
    <w:rsid w:val="007305DC"/>
    <w:rsid w:val="007310D5"/>
    <w:rsid w:val="007313E4"/>
    <w:rsid w:val="0073190D"/>
    <w:rsid w:val="00732151"/>
    <w:rsid w:val="00732524"/>
    <w:rsid w:val="007326B7"/>
    <w:rsid w:val="00732D1E"/>
    <w:rsid w:val="00733204"/>
    <w:rsid w:val="00733C4E"/>
    <w:rsid w:val="00733D31"/>
    <w:rsid w:val="00733D6C"/>
    <w:rsid w:val="00734560"/>
    <w:rsid w:val="00734D5C"/>
    <w:rsid w:val="00735723"/>
    <w:rsid w:val="00736306"/>
    <w:rsid w:val="00736371"/>
    <w:rsid w:val="007364A6"/>
    <w:rsid w:val="0073703F"/>
    <w:rsid w:val="007370A8"/>
    <w:rsid w:val="007375BE"/>
    <w:rsid w:val="00737C73"/>
    <w:rsid w:val="00737DDB"/>
    <w:rsid w:val="007403A0"/>
    <w:rsid w:val="007404A3"/>
    <w:rsid w:val="00740557"/>
    <w:rsid w:val="00740FC4"/>
    <w:rsid w:val="007416F6"/>
    <w:rsid w:val="00741742"/>
    <w:rsid w:val="00741D73"/>
    <w:rsid w:val="00742076"/>
    <w:rsid w:val="007425D3"/>
    <w:rsid w:val="00743874"/>
    <w:rsid w:val="00743C70"/>
    <w:rsid w:val="00743E09"/>
    <w:rsid w:val="00743F2B"/>
    <w:rsid w:val="00743FB1"/>
    <w:rsid w:val="00744765"/>
    <w:rsid w:val="00744A76"/>
    <w:rsid w:val="00745157"/>
    <w:rsid w:val="00745792"/>
    <w:rsid w:val="00745B65"/>
    <w:rsid w:val="0074609A"/>
    <w:rsid w:val="00746967"/>
    <w:rsid w:val="00746A82"/>
    <w:rsid w:val="0074737F"/>
    <w:rsid w:val="0075006C"/>
    <w:rsid w:val="007502CF"/>
    <w:rsid w:val="00750423"/>
    <w:rsid w:val="007507C4"/>
    <w:rsid w:val="007507E7"/>
    <w:rsid w:val="0075087E"/>
    <w:rsid w:val="00751432"/>
    <w:rsid w:val="0075159A"/>
    <w:rsid w:val="00751749"/>
    <w:rsid w:val="007519BF"/>
    <w:rsid w:val="00752074"/>
    <w:rsid w:val="00752648"/>
    <w:rsid w:val="0075290C"/>
    <w:rsid w:val="00752D59"/>
    <w:rsid w:val="00752F6A"/>
    <w:rsid w:val="00752FC2"/>
    <w:rsid w:val="007537E3"/>
    <w:rsid w:val="0075400C"/>
    <w:rsid w:val="00754239"/>
    <w:rsid w:val="007544B5"/>
    <w:rsid w:val="00754A4E"/>
    <w:rsid w:val="00754FEA"/>
    <w:rsid w:val="007550A2"/>
    <w:rsid w:val="00755B3F"/>
    <w:rsid w:val="00755BCD"/>
    <w:rsid w:val="00756091"/>
    <w:rsid w:val="00756097"/>
    <w:rsid w:val="00756986"/>
    <w:rsid w:val="00756AF1"/>
    <w:rsid w:val="00756C1C"/>
    <w:rsid w:val="00756EAA"/>
    <w:rsid w:val="0075710E"/>
    <w:rsid w:val="00757508"/>
    <w:rsid w:val="0075790B"/>
    <w:rsid w:val="007605A4"/>
    <w:rsid w:val="0076088B"/>
    <w:rsid w:val="007608FB"/>
    <w:rsid w:val="00760923"/>
    <w:rsid w:val="00760A05"/>
    <w:rsid w:val="00760C54"/>
    <w:rsid w:val="00761317"/>
    <w:rsid w:val="0076143B"/>
    <w:rsid w:val="00761E0D"/>
    <w:rsid w:val="00761E1F"/>
    <w:rsid w:val="0076213A"/>
    <w:rsid w:val="00762289"/>
    <w:rsid w:val="007625C5"/>
    <w:rsid w:val="00762F04"/>
    <w:rsid w:val="00763398"/>
    <w:rsid w:val="007634E9"/>
    <w:rsid w:val="00763557"/>
    <w:rsid w:val="00763F8C"/>
    <w:rsid w:val="007642E9"/>
    <w:rsid w:val="007644F8"/>
    <w:rsid w:val="00764FB3"/>
    <w:rsid w:val="00765BDD"/>
    <w:rsid w:val="007666A2"/>
    <w:rsid w:val="00766ED7"/>
    <w:rsid w:val="007678D0"/>
    <w:rsid w:val="00767A65"/>
    <w:rsid w:val="00767B84"/>
    <w:rsid w:val="00770077"/>
    <w:rsid w:val="00770298"/>
    <w:rsid w:val="007706D3"/>
    <w:rsid w:val="00771351"/>
    <w:rsid w:val="00771AFB"/>
    <w:rsid w:val="00771FAA"/>
    <w:rsid w:val="007721BA"/>
    <w:rsid w:val="00772E7C"/>
    <w:rsid w:val="007730CE"/>
    <w:rsid w:val="00773423"/>
    <w:rsid w:val="00773707"/>
    <w:rsid w:val="00774289"/>
    <w:rsid w:val="00774688"/>
    <w:rsid w:val="00774792"/>
    <w:rsid w:val="00774FAC"/>
    <w:rsid w:val="007751D1"/>
    <w:rsid w:val="0077536D"/>
    <w:rsid w:val="0077595C"/>
    <w:rsid w:val="00775E58"/>
    <w:rsid w:val="00776182"/>
    <w:rsid w:val="00776D62"/>
    <w:rsid w:val="007777A2"/>
    <w:rsid w:val="00777BAF"/>
    <w:rsid w:val="00780FF3"/>
    <w:rsid w:val="0078224A"/>
    <w:rsid w:val="00782AD0"/>
    <w:rsid w:val="00782CAD"/>
    <w:rsid w:val="00782FBD"/>
    <w:rsid w:val="00782FEA"/>
    <w:rsid w:val="0078333A"/>
    <w:rsid w:val="00784A3E"/>
    <w:rsid w:val="00785A39"/>
    <w:rsid w:val="00785A64"/>
    <w:rsid w:val="007864D1"/>
    <w:rsid w:val="0078683F"/>
    <w:rsid w:val="00786E31"/>
    <w:rsid w:val="00786ED6"/>
    <w:rsid w:val="00787045"/>
    <w:rsid w:val="007870B0"/>
    <w:rsid w:val="007873D9"/>
    <w:rsid w:val="00787D8B"/>
    <w:rsid w:val="00787FB1"/>
    <w:rsid w:val="00790640"/>
    <w:rsid w:val="00790A8B"/>
    <w:rsid w:val="0079145D"/>
    <w:rsid w:val="00791AD4"/>
    <w:rsid w:val="00791BB9"/>
    <w:rsid w:val="0079200E"/>
    <w:rsid w:val="00792A14"/>
    <w:rsid w:val="00792EF9"/>
    <w:rsid w:val="007931EF"/>
    <w:rsid w:val="0079332B"/>
    <w:rsid w:val="00793493"/>
    <w:rsid w:val="00793FE0"/>
    <w:rsid w:val="007940D1"/>
    <w:rsid w:val="00794580"/>
    <w:rsid w:val="00794EFC"/>
    <w:rsid w:val="0079511C"/>
    <w:rsid w:val="007956CA"/>
    <w:rsid w:val="00795B0B"/>
    <w:rsid w:val="00795B8C"/>
    <w:rsid w:val="00795EA8"/>
    <w:rsid w:val="00796131"/>
    <w:rsid w:val="007963FB"/>
    <w:rsid w:val="00796591"/>
    <w:rsid w:val="007965AE"/>
    <w:rsid w:val="00796EC9"/>
    <w:rsid w:val="0079742C"/>
    <w:rsid w:val="007976B6"/>
    <w:rsid w:val="007976F6"/>
    <w:rsid w:val="00797768"/>
    <w:rsid w:val="007A026E"/>
    <w:rsid w:val="007A07ED"/>
    <w:rsid w:val="007A10A9"/>
    <w:rsid w:val="007A1337"/>
    <w:rsid w:val="007A160A"/>
    <w:rsid w:val="007A2D1B"/>
    <w:rsid w:val="007A2E9C"/>
    <w:rsid w:val="007A2EF4"/>
    <w:rsid w:val="007A2F9F"/>
    <w:rsid w:val="007A331F"/>
    <w:rsid w:val="007A33D3"/>
    <w:rsid w:val="007A390E"/>
    <w:rsid w:val="007A3BD8"/>
    <w:rsid w:val="007A3E4D"/>
    <w:rsid w:val="007A4D05"/>
    <w:rsid w:val="007A5230"/>
    <w:rsid w:val="007A6016"/>
    <w:rsid w:val="007A65B4"/>
    <w:rsid w:val="007A6B38"/>
    <w:rsid w:val="007A6B4F"/>
    <w:rsid w:val="007A709E"/>
    <w:rsid w:val="007A76CA"/>
    <w:rsid w:val="007A7CF8"/>
    <w:rsid w:val="007A7D18"/>
    <w:rsid w:val="007A7FCD"/>
    <w:rsid w:val="007B0416"/>
    <w:rsid w:val="007B0887"/>
    <w:rsid w:val="007B0C9D"/>
    <w:rsid w:val="007B1370"/>
    <w:rsid w:val="007B1BCB"/>
    <w:rsid w:val="007B204A"/>
    <w:rsid w:val="007B22A2"/>
    <w:rsid w:val="007B242F"/>
    <w:rsid w:val="007B2434"/>
    <w:rsid w:val="007B2CA9"/>
    <w:rsid w:val="007B2D17"/>
    <w:rsid w:val="007B368B"/>
    <w:rsid w:val="007B4415"/>
    <w:rsid w:val="007B4449"/>
    <w:rsid w:val="007B459B"/>
    <w:rsid w:val="007B45E2"/>
    <w:rsid w:val="007B46A0"/>
    <w:rsid w:val="007B514D"/>
    <w:rsid w:val="007B585C"/>
    <w:rsid w:val="007B639D"/>
    <w:rsid w:val="007B6AEA"/>
    <w:rsid w:val="007B6EFF"/>
    <w:rsid w:val="007B6F9E"/>
    <w:rsid w:val="007B7311"/>
    <w:rsid w:val="007B7674"/>
    <w:rsid w:val="007C069A"/>
    <w:rsid w:val="007C0AA6"/>
    <w:rsid w:val="007C0BB6"/>
    <w:rsid w:val="007C0BEB"/>
    <w:rsid w:val="007C160E"/>
    <w:rsid w:val="007C1A2D"/>
    <w:rsid w:val="007C1B7A"/>
    <w:rsid w:val="007C1F74"/>
    <w:rsid w:val="007C1F8B"/>
    <w:rsid w:val="007C20EB"/>
    <w:rsid w:val="007C2E7D"/>
    <w:rsid w:val="007C2FC7"/>
    <w:rsid w:val="007C34F0"/>
    <w:rsid w:val="007C37F4"/>
    <w:rsid w:val="007C4E49"/>
    <w:rsid w:val="007C52B0"/>
    <w:rsid w:val="007C61CA"/>
    <w:rsid w:val="007C6672"/>
    <w:rsid w:val="007C6B60"/>
    <w:rsid w:val="007C70E4"/>
    <w:rsid w:val="007C7981"/>
    <w:rsid w:val="007C79AF"/>
    <w:rsid w:val="007D0192"/>
    <w:rsid w:val="007D0704"/>
    <w:rsid w:val="007D0DDF"/>
    <w:rsid w:val="007D16D9"/>
    <w:rsid w:val="007D1931"/>
    <w:rsid w:val="007D1D40"/>
    <w:rsid w:val="007D2B5B"/>
    <w:rsid w:val="007D2BFF"/>
    <w:rsid w:val="007D31D8"/>
    <w:rsid w:val="007D3F43"/>
    <w:rsid w:val="007D43A9"/>
    <w:rsid w:val="007D4556"/>
    <w:rsid w:val="007D4E9A"/>
    <w:rsid w:val="007D4EA6"/>
    <w:rsid w:val="007D50C0"/>
    <w:rsid w:val="007D53FC"/>
    <w:rsid w:val="007D63B7"/>
    <w:rsid w:val="007D63EE"/>
    <w:rsid w:val="007D6624"/>
    <w:rsid w:val="007D676C"/>
    <w:rsid w:val="007D73F5"/>
    <w:rsid w:val="007D742A"/>
    <w:rsid w:val="007D760E"/>
    <w:rsid w:val="007D780D"/>
    <w:rsid w:val="007E082A"/>
    <w:rsid w:val="007E1229"/>
    <w:rsid w:val="007E125F"/>
    <w:rsid w:val="007E1441"/>
    <w:rsid w:val="007E1BF5"/>
    <w:rsid w:val="007E1C85"/>
    <w:rsid w:val="007E24FA"/>
    <w:rsid w:val="007E26D6"/>
    <w:rsid w:val="007E298F"/>
    <w:rsid w:val="007E2C4B"/>
    <w:rsid w:val="007E2E53"/>
    <w:rsid w:val="007E306F"/>
    <w:rsid w:val="007E37C7"/>
    <w:rsid w:val="007E3976"/>
    <w:rsid w:val="007E3AEE"/>
    <w:rsid w:val="007E3FF0"/>
    <w:rsid w:val="007E4C8F"/>
    <w:rsid w:val="007E4C95"/>
    <w:rsid w:val="007E53DF"/>
    <w:rsid w:val="007E5758"/>
    <w:rsid w:val="007E5D0F"/>
    <w:rsid w:val="007E6950"/>
    <w:rsid w:val="007E6B60"/>
    <w:rsid w:val="007E6CDB"/>
    <w:rsid w:val="007E7826"/>
    <w:rsid w:val="007F000F"/>
    <w:rsid w:val="007F0063"/>
    <w:rsid w:val="007F00C4"/>
    <w:rsid w:val="007F1446"/>
    <w:rsid w:val="007F1512"/>
    <w:rsid w:val="007F16A9"/>
    <w:rsid w:val="007F1AEA"/>
    <w:rsid w:val="007F1C97"/>
    <w:rsid w:val="007F2CEF"/>
    <w:rsid w:val="007F3BED"/>
    <w:rsid w:val="007F4462"/>
    <w:rsid w:val="007F4AED"/>
    <w:rsid w:val="007F55D5"/>
    <w:rsid w:val="007F61A8"/>
    <w:rsid w:val="007F62DB"/>
    <w:rsid w:val="007F6C99"/>
    <w:rsid w:val="007F6CA7"/>
    <w:rsid w:val="00800211"/>
    <w:rsid w:val="00800564"/>
    <w:rsid w:val="008008EF"/>
    <w:rsid w:val="00800B57"/>
    <w:rsid w:val="008014CB"/>
    <w:rsid w:val="00801974"/>
    <w:rsid w:val="00801BFA"/>
    <w:rsid w:val="0080250D"/>
    <w:rsid w:val="00802857"/>
    <w:rsid w:val="00802945"/>
    <w:rsid w:val="00802C15"/>
    <w:rsid w:val="008037C8"/>
    <w:rsid w:val="0080396E"/>
    <w:rsid w:val="00803DE5"/>
    <w:rsid w:val="008043BA"/>
    <w:rsid w:val="00804508"/>
    <w:rsid w:val="00804B90"/>
    <w:rsid w:val="00804D00"/>
    <w:rsid w:val="008056FD"/>
    <w:rsid w:val="008059C2"/>
    <w:rsid w:val="00805E91"/>
    <w:rsid w:val="00806319"/>
    <w:rsid w:val="00806BA5"/>
    <w:rsid w:val="00807E93"/>
    <w:rsid w:val="00810827"/>
    <w:rsid w:val="00812280"/>
    <w:rsid w:val="00812B51"/>
    <w:rsid w:val="00812E4E"/>
    <w:rsid w:val="00812F93"/>
    <w:rsid w:val="0081362B"/>
    <w:rsid w:val="00814852"/>
    <w:rsid w:val="00814ED8"/>
    <w:rsid w:val="00815510"/>
    <w:rsid w:val="008157AF"/>
    <w:rsid w:val="008158F3"/>
    <w:rsid w:val="00815A14"/>
    <w:rsid w:val="00815C76"/>
    <w:rsid w:val="00815CA1"/>
    <w:rsid w:val="0081610B"/>
    <w:rsid w:val="008164B4"/>
    <w:rsid w:val="008164CC"/>
    <w:rsid w:val="00816E1D"/>
    <w:rsid w:val="008171A2"/>
    <w:rsid w:val="008176E2"/>
    <w:rsid w:val="00817B4E"/>
    <w:rsid w:val="00817E57"/>
    <w:rsid w:val="008201CA"/>
    <w:rsid w:val="00820BDA"/>
    <w:rsid w:val="00820C6D"/>
    <w:rsid w:val="00820E31"/>
    <w:rsid w:val="00821273"/>
    <w:rsid w:val="008217EA"/>
    <w:rsid w:val="00821C6A"/>
    <w:rsid w:val="008227DF"/>
    <w:rsid w:val="00823109"/>
    <w:rsid w:val="00823237"/>
    <w:rsid w:val="00824A2E"/>
    <w:rsid w:val="00824BA9"/>
    <w:rsid w:val="00825668"/>
    <w:rsid w:val="008258E6"/>
    <w:rsid w:val="00826054"/>
    <w:rsid w:val="008269F8"/>
    <w:rsid w:val="00826C36"/>
    <w:rsid w:val="00826C81"/>
    <w:rsid w:val="00827266"/>
    <w:rsid w:val="008273DC"/>
    <w:rsid w:val="00827588"/>
    <w:rsid w:val="00827633"/>
    <w:rsid w:val="008279CF"/>
    <w:rsid w:val="00827A21"/>
    <w:rsid w:val="00827B06"/>
    <w:rsid w:val="0083094C"/>
    <w:rsid w:val="0083117E"/>
    <w:rsid w:val="00831334"/>
    <w:rsid w:val="0083166F"/>
    <w:rsid w:val="00831A7A"/>
    <w:rsid w:val="00831CB5"/>
    <w:rsid w:val="008324BD"/>
    <w:rsid w:val="008325F0"/>
    <w:rsid w:val="00832605"/>
    <w:rsid w:val="00833460"/>
    <w:rsid w:val="00833CCB"/>
    <w:rsid w:val="00834183"/>
    <w:rsid w:val="008352B7"/>
    <w:rsid w:val="0083546A"/>
    <w:rsid w:val="00835B21"/>
    <w:rsid w:val="00835E44"/>
    <w:rsid w:val="00837D1E"/>
    <w:rsid w:val="0084029C"/>
    <w:rsid w:val="00840314"/>
    <w:rsid w:val="008409FA"/>
    <w:rsid w:val="00840C45"/>
    <w:rsid w:val="00840F84"/>
    <w:rsid w:val="00840FED"/>
    <w:rsid w:val="00841237"/>
    <w:rsid w:val="00841ABF"/>
    <w:rsid w:val="00841EBE"/>
    <w:rsid w:val="00842A9E"/>
    <w:rsid w:val="00843946"/>
    <w:rsid w:val="00843D90"/>
    <w:rsid w:val="008440D3"/>
    <w:rsid w:val="00844990"/>
    <w:rsid w:val="00844B59"/>
    <w:rsid w:val="00844CB2"/>
    <w:rsid w:val="00844FAF"/>
    <w:rsid w:val="00845DF1"/>
    <w:rsid w:val="008461F1"/>
    <w:rsid w:val="00846421"/>
    <w:rsid w:val="0084669A"/>
    <w:rsid w:val="008471B2"/>
    <w:rsid w:val="008472E7"/>
    <w:rsid w:val="008473F2"/>
    <w:rsid w:val="00847BF2"/>
    <w:rsid w:val="00847CCA"/>
    <w:rsid w:val="00847DDB"/>
    <w:rsid w:val="00847E81"/>
    <w:rsid w:val="00847FFA"/>
    <w:rsid w:val="008502ED"/>
    <w:rsid w:val="00850690"/>
    <w:rsid w:val="00851100"/>
    <w:rsid w:val="0085123A"/>
    <w:rsid w:val="008522F1"/>
    <w:rsid w:val="0085384B"/>
    <w:rsid w:val="008543BD"/>
    <w:rsid w:val="0085472F"/>
    <w:rsid w:val="00854761"/>
    <w:rsid w:val="00854A27"/>
    <w:rsid w:val="00854C66"/>
    <w:rsid w:val="008553DD"/>
    <w:rsid w:val="008556DF"/>
    <w:rsid w:val="0085571C"/>
    <w:rsid w:val="00855B53"/>
    <w:rsid w:val="00855DB0"/>
    <w:rsid w:val="00855F7E"/>
    <w:rsid w:val="00856798"/>
    <w:rsid w:val="00856AEE"/>
    <w:rsid w:val="00856E1D"/>
    <w:rsid w:val="0085753E"/>
    <w:rsid w:val="008579F8"/>
    <w:rsid w:val="00857D89"/>
    <w:rsid w:val="0086090D"/>
    <w:rsid w:val="00860E17"/>
    <w:rsid w:val="00861600"/>
    <w:rsid w:val="00861791"/>
    <w:rsid w:val="00861914"/>
    <w:rsid w:val="00862538"/>
    <w:rsid w:val="008625A8"/>
    <w:rsid w:val="00863F87"/>
    <w:rsid w:val="00864AFB"/>
    <w:rsid w:val="00864FAC"/>
    <w:rsid w:val="0086591B"/>
    <w:rsid w:val="00865BEA"/>
    <w:rsid w:val="00865CE0"/>
    <w:rsid w:val="0086744D"/>
    <w:rsid w:val="00867B94"/>
    <w:rsid w:val="00867C6E"/>
    <w:rsid w:val="00870279"/>
    <w:rsid w:val="00870E37"/>
    <w:rsid w:val="00871633"/>
    <w:rsid w:val="0087202D"/>
    <w:rsid w:val="00872114"/>
    <w:rsid w:val="0087256B"/>
    <w:rsid w:val="008729C8"/>
    <w:rsid w:val="00872B16"/>
    <w:rsid w:val="00872E9D"/>
    <w:rsid w:val="00873CBB"/>
    <w:rsid w:val="00873EB6"/>
    <w:rsid w:val="00873F3A"/>
    <w:rsid w:val="00874077"/>
    <w:rsid w:val="00874080"/>
    <w:rsid w:val="008741F5"/>
    <w:rsid w:val="0087423A"/>
    <w:rsid w:val="008748DA"/>
    <w:rsid w:val="008751AA"/>
    <w:rsid w:val="00875A83"/>
    <w:rsid w:val="00875C05"/>
    <w:rsid w:val="008761BC"/>
    <w:rsid w:val="008764C6"/>
    <w:rsid w:val="00876D50"/>
    <w:rsid w:val="00877018"/>
    <w:rsid w:val="00877B58"/>
    <w:rsid w:val="008804EA"/>
    <w:rsid w:val="00880D25"/>
    <w:rsid w:val="008814AB"/>
    <w:rsid w:val="008823D0"/>
    <w:rsid w:val="008827E6"/>
    <w:rsid w:val="0088286D"/>
    <w:rsid w:val="00882D58"/>
    <w:rsid w:val="008833E0"/>
    <w:rsid w:val="0088380B"/>
    <w:rsid w:val="0088381A"/>
    <w:rsid w:val="00883E24"/>
    <w:rsid w:val="00884231"/>
    <w:rsid w:val="00884286"/>
    <w:rsid w:val="00884A03"/>
    <w:rsid w:val="00884EED"/>
    <w:rsid w:val="00885843"/>
    <w:rsid w:val="008858F7"/>
    <w:rsid w:val="0088791D"/>
    <w:rsid w:val="0089043A"/>
    <w:rsid w:val="0089079F"/>
    <w:rsid w:val="008908BF"/>
    <w:rsid w:val="00890B60"/>
    <w:rsid w:val="00890C7C"/>
    <w:rsid w:val="008914B0"/>
    <w:rsid w:val="008916B6"/>
    <w:rsid w:val="00891CC2"/>
    <w:rsid w:val="00891F91"/>
    <w:rsid w:val="00892D66"/>
    <w:rsid w:val="00892D83"/>
    <w:rsid w:val="00893517"/>
    <w:rsid w:val="00893773"/>
    <w:rsid w:val="00893872"/>
    <w:rsid w:val="0089388F"/>
    <w:rsid w:val="00893D4B"/>
    <w:rsid w:val="00893DDC"/>
    <w:rsid w:val="0089487E"/>
    <w:rsid w:val="00894E76"/>
    <w:rsid w:val="00895BA9"/>
    <w:rsid w:val="00895D5C"/>
    <w:rsid w:val="00895E46"/>
    <w:rsid w:val="008960E0"/>
    <w:rsid w:val="008962DC"/>
    <w:rsid w:val="00896922"/>
    <w:rsid w:val="00896A26"/>
    <w:rsid w:val="00896C9E"/>
    <w:rsid w:val="00896CDE"/>
    <w:rsid w:val="008A04BA"/>
    <w:rsid w:val="008A0682"/>
    <w:rsid w:val="008A0D39"/>
    <w:rsid w:val="008A1541"/>
    <w:rsid w:val="008A1FD0"/>
    <w:rsid w:val="008A2C4E"/>
    <w:rsid w:val="008A2D51"/>
    <w:rsid w:val="008A335B"/>
    <w:rsid w:val="008A3B55"/>
    <w:rsid w:val="008A3D78"/>
    <w:rsid w:val="008A3E0F"/>
    <w:rsid w:val="008A4382"/>
    <w:rsid w:val="008A532C"/>
    <w:rsid w:val="008A5DF4"/>
    <w:rsid w:val="008A64BE"/>
    <w:rsid w:val="008A6C6B"/>
    <w:rsid w:val="008A6E0A"/>
    <w:rsid w:val="008A7087"/>
    <w:rsid w:val="008A7B4D"/>
    <w:rsid w:val="008B039D"/>
    <w:rsid w:val="008B0649"/>
    <w:rsid w:val="008B06C1"/>
    <w:rsid w:val="008B0A05"/>
    <w:rsid w:val="008B151F"/>
    <w:rsid w:val="008B1AC1"/>
    <w:rsid w:val="008B1AD0"/>
    <w:rsid w:val="008B2141"/>
    <w:rsid w:val="008B22F1"/>
    <w:rsid w:val="008B256A"/>
    <w:rsid w:val="008B2EFC"/>
    <w:rsid w:val="008B4249"/>
    <w:rsid w:val="008B4552"/>
    <w:rsid w:val="008B4954"/>
    <w:rsid w:val="008B6364"/>
    <w:rsid w:val="008B6622"/>
    <w:rsid w:val="008B6913"/>
    <w:rsid w:val="008B6AC3"/>
    <w:rsid w:val="008B6CC8"/>
    <w:rsid w:val="008B720E"/>
    <w:rsid w:val="008B7386"/>
    <w:rsid w:val="008B74B6"/>
    <w:rsid w:val="008B753C"/>
    <w:rsid w:val="008B756A"/>
    <w:rsid w:val="008B7C28"/>
    <w:rsid w:val="008B7D7D"/>
    <w:rsid w:val="008C0ACC"/>
    <w:rsid w:val="008C0E9D"/>
    <w:rsid w:val="008C131C"/>
    <w:rsid w:val="008C1B34"/>
    <w:rsid w:val="008C243A"/>
    <w:rsid w:val="008C3A4F"/>
    <w:rsid w:val="008C3CEA"/>
    <w:rsid w:val="008C4B9D"/>
    <w:rsid w:val="008C4D19"/>
    <w:rsid w:val="008C5400"/>
    <w:rsid w:val="008C56C8"/>
    <w:rsid w:val="008C594B"/>
    <w:rsid w:val="008C68CC"/>
    <w:rsid w:val="008C6BCE"/>
    <w:rsid w:val="008C73C9"/>
    <w:rsid w:val="008C776C"/>
    <w:rsid w:val="008C7A92"/>
    <w:rsid w:val="008C7B5F"/>
    <w:rsid w:val="008D01FB"/>
    <w:rsid w:val="008D0B34"/>
    <w:rsid w:val="008D131D"/>
    <w:rsid w:val="008D143E"/>
    <w:rsid w:val="008D1713"/>
    <w:rsid w:val="008D1793"/>
    <w:rsid w:val="008D2163"/>
    <w:rsid w:val="008D3279"/>
    <w:rsid w:val="008D3450"/>
    <w:rsid w:val="008D3730"/>
    <w:rsid w:val="008D3F24"/>
    <w:rsid w:val="008D4599"/>
    <w:rsid w:val="008D4619"/>
    <w:rsid w:val="008D4BD7"/>
    <w:rsid w:val="008D4C69"/>
    <w:rsid w:val="008D4EAF"/>
    <w:rsid w:val="008D5108"/>
    <w:rsid w:val="008D5D66"/>
    <w:rsid w:val="008D6333"/>
    <w:rsid w:val="008D7571"/>
    <w:rsid w:val="008D7EE9"/>
    <w:rsid w:val="008E040E"/>
    <w:rsid w:val="008E09C0"/>
    <w:rsid w:val="008E0E93"/>
    <w:rsid w:val="008E13E2"/>
    <w:rsid w:val="008E2A64"/>
    <w:rsid w:val="008E3CB6"/>
    <w:rsid w:val="008E4325"/>
    <w:rsid w:val="008E581B"/>
    <w:rsid w:val="008E5A66"/>
    <w:rsid w:val="008E5DF4"/>
    <w:rsid w:val="008E60AA"/>
    <w:rsid w:val="008E6907"/>
    <w:rsid w:val="008E6971"/>
    <w:rsid w:val="008E6B8C"/>
    <w:rsid w:val="008E6C68"/>
    <w:rsid w:val="008E726A"/>
    <w:rsid w:val="008E7580"/>
    <w:rsid w:val="008E7801"/>
    <w:rsid w:val="008E7BBE"/>
    <w:rsid w:val="008F091D"/>
    <w:rsid w:val="008F0CA6"/>
    <w:rsid w:val="008F108B"/>
    <w:rsid w:val="008F114A"/>
    <w:rsid w:val="008F134D"/>
    <w:rsid w:val="008F1EB6"/>
    <w:rsid w:val="008F204F"/>
    <w:rsid w:val="008F227D"/>
    <w:rsid w:val="008F2719"/>
    <w:rsid w:val="008F2E40"/>
    <w:rsid w:val="008F3110"/>
    <w:rsid w:val="008F3149"/>
    <w:rsid w:val="008F3A08"/>
    <w:rsid w:val="008F3ECF"/>
    <w:rsid w:val="008F4682"/>
    <w:rsid w:val="008F46DE"/>
    <w:rsid w:val="008F4EA3"/>
    <w:rsid w:val="008F51D3"/>
    <w:rsid w:val="008F5712"/>
    <w:rsid w:val="008F65C4"/>
    <w:rsid w:val="008F70D2"/>
    <w:rsid w:val="008F7E08"/>
    <w:rsid w:val="00900011"/>
    <w:rsid w:val="009000DB"/>
    <w:rsid w:val="009004E6"/>
    <w:rsid w:val="009008D0"/>
    <w:rsid w:val="00900CD4"/>
    <w:rsid w:val="00900EAE"/>
    <w:rsid w:val="009010FD"/>
    <w:rsid w:val="00901C72"/>
    <w:rsid w:val="00901DE1"/>
    <w:rsid w:val="009023F7"/>
    <w:rsid w:val="0090260D"/>
    <w:rsid w:val="009026E5"/>
    <w:rsid w:val="0090276E"/>
    <w:rsid w:val="00902E9D"/>
    <w:rsid w:val="00903080"/>
    <w:rsid w:val="0090336C"/>
    <w:rsid w:val="00903DFE"/>
    <w:rsid w:val="00904AA5"/>
    <w:rsid w:val="00905990"/>
    <w:rsid w:val="00906066"/>
    <w:rsid w:val="009063B2"/>
    <w:rsid w:val="009065AE"/>
    <w:rsid w:val="0090684C"/>
    <w:rsid w:val="00906C29"/>
    <w:rsid w:val="009070DE"/>
    <w:rsid w:val="009079BC"/>
    <w:rsid w:val="00907A72"/>
    <w:rsid w:val="00907FD9"/>
    <w:rsid w:val="00910392"/>
    <w:rsid w:val="0091187E"/>
    <w:rsid w:val="00911C8F"/>
    <w:rsid w:val="0091205E"/>
    <w:rsid w:val="009122A4"/>
    <w:rsid w:val="00912828"/>
    <w:rsid w:val="009134B7"/>
    <w:rsid w:val="009137F3"/>
    <w:rsid w:val="00913A72"/>
    <w:rsid w:val="00913FC5"/>
    <w:rsid w:val="009141B2"/>
    <w:rsid w:val="00914F7D"/>
    <w:rsid w:val="0091559D"/>
    <w:rsid w:val="009168B3"/>
    <w:rsid w:val="00916944"/>
    <w:rsid w:val="00917155"/>
    <w:rsid w:val="0091779E"/>
    <w:rsid w:val="00917986"/>
    <w:rsid w:val="00917D15"/>
    <w:rsid w:val="00917E30"/>
    <w:rsid w:val="00920245"/>
    <w:rsid w:val="009203BE"/>
    <w:rsid w:val="00920E19"/>
    <w:rsid w:val="00921519"/>
    <w:rsid w:val="00921AA4"/>
    <w:rsid w:val="00922404"/>
    <w:rsid w:val="00922E70"/>
    <w:rsid w:val="00922FA5"/>
    <w:rsid w:val="00923A12"/>
    <w:rsid w:val="009246D0"/>
    <w:rsid w:val="00924D01"/>
    <w:rsid w:val="009250AB"/>
    <w:rsid w:val="00925130"/>
    <w:rsid w:val="0092600C"/>
    <w:rsid w:val="0092625B"/>
    <w:rsid w:val="00926B6D"/>
    <w:rsid w:val="00926DD8"/>
    <w:rsid w:val="0092771A"/>
    <w:rsid w:val="00927EC2"/>
    <w:rsid w:val="009300B8"/>
    <w:rsid w:val="00930CA8"/>
    <w:rsid w:val="00930E80"/>
    <w:rsid w:val="009310CF"/>
    <w:rsid w:val="009316D6"/>
    <w:rsid w:val="00931710"/>
    <w:rsid w:val="00931A18"/>
    <w:rsid w:val="0093211F"/>
    <w:rsid w:val="0093217D"/>
    <w:rsid w:val="00932259"/>
    <w:rsid w:val="009334B0"/>
    <w:rsid w:val="009336F5"/>
    <w:rsid w:val="00933F94"/>
    <w:rsid w:val="009343FE"/>
    <w:rsid w:val="00935009"/>
    <w:rsid w:val="00935804"/>
    <w:rsid w:val="00935F40"/>
    <w:rsid w:val="00937D67"/>
    <w:rsid w:val="00937FA9"/>
    <w:rsid w:val="00940006"/>
    <w:rsid w:val="00940373"/>
    <w:rsid w:val="0094038A"/>
    <w:rsid w:val="0094092F"/>
    <w:rsid w:val="00940A32"/>
    <w:rsid w:val="00940CDF"/>
    <w:rsid w:val="00940F46"/>
    <w:rsid w:val="009411B4"/>
    <w:rsid w:val="009415E8"/>
    <w:rsid w:val="00941616"/>
    <w:rsid w:val="00941671"/>
    <w:rsid w:val="009421B4"/>
    <w:rsid w:val="009425C0"/>
    <w:rsid w:val="0094296C"/>
    <w:rsid w:val="00942E63"/>
    <w:rsid w:val="00942F7F"/>
    <w:rsid w:val="00943340"/>
    <w:rsid w:val="009436B4"/>
    <w:rsid w:val="00943BC5"/>
    <w:rsid w:val="00943D86"/>
    <w:rsid w:val="00944E7A"/>
    <w:rsid w:val="00945460"/>
    <w:rsid w:val="00945F8D"/>
    <w:rsid w:val="0094657F"/>
    <w:rsid w:val="00946CCF"/>
    <w:rsid w:val="00946F1D"/>
    <w:rsid w:val="00947456"/>
    <w:rsid w:val="00947601"/>
    <w:rsid w:val="00947AFA"/>
    <w:rsid w:val="00947F99"/>
    <w:rsid w:val="0095011D"/>
    <w:rsid w:val="009502D1"/>
    <w:rsid w:val="0095095E"/>
    <w:rsid w:val="00950A25"/>
    <w:rsid w:val="00950A8F"/>
    <w:rsid w:val="0095135A"/>
    <w:rsid w:val="009513DE"/>
    <w:rsid w:val="00951440"/>
    <w:rsid w:val="009519E3"/>
    <w:rsid w:val="00952364"/>
    <w:rsid w:val="009527B6"/>
    <w:rsid w:val="00952F5C"/>
    <w:rsid w:val="0095303D"/>
    <w:rsid w:val="00953270"/>
    <w:rsid w:val="009532BF"/>
    <w:rsid w:val="009537B5"/>
    <w:rsid w:val="009537D0"/>
    <w:rsid w:val="0095383E"/>
    <w:rsid w:val="00953E70"/>
    <w:rsid w:val="00953E77"/>
    <w:rsid w:val="00954784"/>
    <w:rsid w:val="00954ADD"/>
    <w:rsid w:val="00954B1C"/>
    <w:rsid w:val="00954CF8"/>
    <w:rsid w:val="00955093"/>
    <w:rsid w:val="00955972"/>
    <w:rsid w:val="00955B82"/>
    <w:rsid w:val="00955C07"/>
    <w:rsid w:val="00956D4D"/>
    <w:rsid w:val="00956F55"/>
    <w:rsid w:val="0095729E"/>
    <w:rsid w:val="009572FB"/>
    <w:rsid w:val="00957446"/>
    <w:rsid w:val="00957D83"/>
    <w:rsid w:val="009601A4"/>
    <w:rsid w:val="00960372"/>
    <w:rsid w:val="009605A3"/>
    <w:rsid w:val="00960616"/>
    <w:rsid w:val="009606C2"/>
    <w:rsid w:val="00960C4A"/>
    <w:rsid w:val="00960FB8"/>
    <w:rsid w:val="009619E2"/>
    <w:rsid w:val="00962629"/>
    <w:rsid w:val="009627AD"/>
    <w:rsid w:val="00962CEB"/>
    <w:rsid w:val="00962E7F"/>
    <w:rsid w:val="00963725"/>
    <w:rsid w:val="00963907"/>
    <w:rsid w:val="0096395C"/>
    <w:rsid w:val="00964041"/>
    <w:rsid w:val="00964D24"/>
    <w:rsid w:val="009651C4"/>
    <w:rsid w:val="009659F2"/>
    <w:rsid w:val="00966520"/>
    <w:rsid w:val="009666F4"/>
    <w:rsid w:val="00966BA7"/>
    <w:rsid w:val="009672B5"/>
    <w:rsid w:val="0096764D"/>
    <w:rsid w:val="00967A83"/>
    <w:rsid w:val="0097062A"/>
    <w:rsid w:val="0097220F"/>
    <w:rsid w:val="00972482"/>
    <w:rsid w:val="00972502"/>
    <w:rsid w:val="009726D4"/>
    <w:rsid w:val="0097279B"/>
    <w:rsid w:val="00973899"/>
    <w:rsid w:val="009738ED"/>
    <w:rsid w:val="009741E2"/>
    <w:rsid w:val="009742DD"/>
    <w:rsid w:val="00974878"/>
    <w:rsid w:val="00974AD1"/>
    <w:rsid w:val="00974CB4"/>
    <w:rsid w:val="0097551E"/>
    <w:rsid w:val="00975818"/>
    <w:rsid w:val="009758CC"/>
    <w:rsid w:val="009763F1"/>
    <w:rsid w:val="00976911"/>
    <w:rsid w:val="00976ECF"/>
    <w:rsid w:val="0097791D"/>
    <w:rsid w:val="00980345"/>
    <w:rsid w:val="0098045F"/>
    <w:rsid w:val="0098076F"/>
    <w:rsid w:val="00980C2C"/>
    <w:rsid w:val="00981408"/>
    <w:rsid w:val="009815BB"/>
    <w:rsid w:val="00981689"/>
    <w:rsid w:val="009818C9"/>
    <w:rsid w:val="009818CA"/>
    <w:rsid w:val="00981C85"/>
    <w:rsid w:val="009822E2"/>
    <w:rsid w:val="009823B0"/>
    <w:rsid w:val="009828FA"/>
    <w:rsid w:val="009829B1"/>
    <w:rsid w:val="00982B2F"/>
    <w:rsid w:val="00982CA8"/>
    <w:rsid w:val="00982E59"/>
    <w:rsid w:val="00983084"/>
    <w:rsid w:val="009845D5"/>
    <w:rsid w:val="00984C89"/>
    <w:rsid w:val="009850D1"/>
    <w:rsid w:val="009853E9"/>
    <w:rsid w:val="009863F6"/>
    <w:rsid w:val="009869D2"/>
    <w:rsid w:val="00986E41"/>
    <w:rsid w:val="0098782C"/>
    <w:rsid w:val="00987D2E"/>
    <w:rsid w:val="00990196"/>
    <w:rsid w:val="00990746"/>
    <w:rsid w:val="009908C3"/>
    <w:rsid w:val="00990DCB"/>
    <w:rsid w:val="00990EC2"/>
    <w:rsid w:val="00991211"/>
    <w:rsid w:val="00991485"/>
    <w:rsid w:val="009915A2"/>
    <w:rsid w:val="009916E1"/>
    <w:rsid w:val="0099184D"/>
    <w:rsid w:val="009923AA"/>
    <w:rsid w:val="0099311D"/>
    <w:rsid w:val="00993335"/>
    <w:rsid w:val="00993394"/>
    <w:rsid w:val="009939A5"/>
    <w:rsid w:val="009939F8"/>
    <w:rsid w:val="009944ED"/>
    <w:rsid w:val="0099495E"/>
    <w:rsid w:val="009949E0"/>
    <w:rsid w:val="00995298"/>
    <w:rsid w:val="00995972"/>
    <w:rsid w:val="009963CF"/>
    <w:rsid w:val="00996C0F"/>
    <w:rsid w:val="00996EB9"/>
    <w:rsid w:val="009972EE"/>
    <w:rsid w:val="009973BD"/>
    <w:rsid w:val="0099780C"/>
    <w:rsid w:val="00997D8D"/>
    <w:rsid w:val="009A060C"/>
    <w:rsid w:val="009A0625"/>
    <w:rsid w:val="009A0900"/>
    <w:rsid w:val="009A101A"/>
    <w:rsid w:val="009A19EC"/>
    <w:rsid w:val="009A20D0"/>
    <w:rsid w:val="009A2A03"/>
    <w:rsid w:val="009A34E6"/>
    <w:rsid w:val="009A372B"/>
    <w:rsid w:val="009A38E3"/>
    <w:rsid w:val="009A3D49"/>
    <w:rsid w:val="009A409F"/>
    <w:rsid w:val="009A4856"/>
    <w:rsid w:val="009A4879"/>
    <w:rsid w:val="009A4DCB"/>
    <w:rsid w:val="009A4EFA"/>
    <w:rsid w:val="009A5039"/>
    <w:rsid w:val="009A505D"/>
    <w:rsid w:val="009A5261"/>
    <w:rsid w:val="009A5319"/>
    <w:rsid w:val="009A534F"/>
    <w:rsid w:val="009A617F"/>
    <w:rsid w:val="009A627E"/>
    <w:rsid w:val="009A6FA4"/>
    <w:rsid w:val="009A703C"/>
    <w:rsid w:val="009A7227"/>
    <w:rsid w:val="009A78FB"/>
    <w:rsid w:val="009A7B84"/>
    <w:rsid w:val="009B015D"/>
    <w:rsid w:val="009B0886"/>
    <w:rsid w:val="009B08E5"/>
    <w:rsid w:val="009B0CA9"/>
    <w:rsid w:val="009B1370"/>
    <w:rsid w:val="009B1860"/>
    <w:rsid w:val="009B1C2F"/>
    <w:rsid w:val="009B2B62"/>
    <w:rsid w:val="009B31D5"/>
    <w:rsid w:val="009B368A"/>
    <w:rsid w:val="009B39F0"/>
    <w:rsid w:val="009B3C19"/>
    <w:rsid w:val="009B3D96"/>
    <w:rsid w:val="009B4A98"/>
    <w:rsid w:val="009B4BB3"/>
    <w:rsid w:val="009B4D62"/>
    <w:rsid w:val="009B5230"/>
    <w:rsid w:val="009B566D"/>
    <w:rsid w:val="009B57DE"/>
    <w:rsid w:val="009B593B"/>
    <w:rsid w:val="009B5A63"/>
    <w:rsid w:val="009B63CC"/>
    <w:rsid w:val="009B6C36"/>
    <w:rsid w:val="009B6CC0"/>
    <w:rsid w:val="009B6D06"/>
    <w:rsid w:val="009B6F31"/>
    <w:rsid w:val="009B7864"/>
    <w:rsid w:val="009B7E8F"/>
    <w:rsid w:val="009C09E1"/>
    <w:rsid w:val="009C0B12"/>
    <w:rsid w:val="009C0C4E"/>
    <w:rsid w:val="009C0FFD"/>
    <w:rsid w:val="009C1428"/>
    <w:rsid w:val="009C194E"/>
    <w:rsid w:val="009C1B70"/>
    <w:rsid w:val="009C1F26"/>
    <w:rsid w:val="009C1F53"/>
    <w:rsid w:val="009C243F"/>
    <w:rsid w:val="009C2744"/>
    <w:rsid w:val="009C28BA"/>
    <w:rsid w:val="009C29CF"/>
    <w:rsid w:val="009C32B6"/>
    <w:rsid w:val="009C36AF"/>
    <w:rsid w:val="009C39D4"/>
    <w:rsid w:val="009C3C57"/>
    <w:rsid w:val="009C3E56"/>
    <w:rsid w:val="009C418A"/>
    <w:rsid w:val="009C4287"/>
    <w:rsid w:val="009C4456"/>
    <w:rsid w:val="009C4EDA"/>
    <w:rsid w:val="009C5C4C"/>
    <w:rsid w:val="009C62C9"/>
    <w:rsid w:val="009C62CD"/>
    <w:rsid w:val="009C67B2"/>
    <w:rsid w:val="009C748C"/>
    <w:rsid w:val="009C7DA2"/>
    <w:rsid w:val="009D0139"/>
    <w:rsid w:val="009D09DA"/>
    <w:rsid w:val="009D13E8"/>
    <w:rsid w:val="009D1B43"/>
    <w:rsid w:val="009D1C34"/>
    <w:rsid w:val="009D27B9"/>
    <w:rsid w:val="009D282E"/>
    <w:rsid w:val="009D29EA"/>
    <w:rsid w:val="009D2AE2"/>
    <w:rsid w:val="009D2DEE"/>
    <w:rsid w:val="009D30E9"/>
    <w:rsid w:val="009D3265"/>
    <w:rsid w:val="009D3648"/>
    <w:rsid w:val="009D3952"/>
    <w:rsid w:val="009D3CC9"/>
    <w:rsid w:val="009D4E82"/>
    <w:rsid w:val="009D55F6"/>
    <w:rsid w:val="009D599F"/>
    <w:rsid w:val="009D67FB"/>
    <w:rsid w:val="009D68F7"/>
    <w:rsid w:val="009D6CDB"/>
    <w:rsid w:val="009D7371"/>
    <w:rsid w:val="009D7FAA"/>
    <w:rsid w:val="009E01A0"/>
    <w:rsid w:val="009E051B"/>
    <w:rsid w:val="009E0565"/>
    <w:rsid w:val="009E0FBC"/>
    <w:rsid w:val="009E17B0"/>
    <w:rsid w:val="009E2055"/>
    <w:rsid w:val="009E2E9A"/>
    <w:rsid w:val="009E35F9"/>
    <w:rsid w:val="009E3628"/>
    <w:rsid w:val="009E38B7"/>
    <w:rsid w:val="009E42CD"/>
    <w:rsid w:val="009E442A"/>
    <w:rsid w:val="009E4C65"/>
    <w:rsid w:val="009E4F66"/>
    <w:rsid w:val="009E4F7D"/>
    <w:rsid w:val="009E50DC"/>
    <w:rsid w:val="009E558C"/>
    <w:rsid w:val="009E5AEC"/>
    <w:rsid w:val="009E7200"/>
    <w:rsid w:val="009F007A"/>
    <w:rsid w:val="009F129E"/>
    <w:rsid w:val="009F1FF2"/>
    <w:rsid w:val="009F2377"/>
    <w:rsid w:val="009F3272"/>
    <w:rsid w:val="009F334D"/>
    <w:rsid w:val="009F398A"/>
    <w:rsid w:val="009F3CF5"/>
    <w:rsid w:val="009F4143"/>
    <w:rsid w:val="009F42B4"/>
    <w:rsid w:val="009F4554"/>
    <w:rsid w:val="009F4652"/>
    <w:rsid w:val="009F4709"/>
    <w:rsid w:val="009F4D6F"/>
    <w:rsid w:val="009F4E93"/>
    <w:rsid w:val="009F5CDC"/>
    <w:rsid w:val="009F639A"/>
    <w:rsid w:val="009F654C"/>
    <w:rsid w:val="009F656C"/>
    <w:rsid w:val="009F678B"/>
    <w:rsid w:val="009F6F55"/>
    <w:rsid w:val="009F750D"/>
    <w:rsid w:val="009F7A59"/>
    <w:rsid w:val="00A000D1"/>
    <w:rsid w:val="00A00D3A"/>
    <w:rsid w:val="00A01089"/>
    <w:rsid w:val="00A016CF"/>
    <w:rsid w:val="00A016DB"/>
    <w:rsid w:val="00A017F6"/>
    <w:rsid w:val="00A02402"/>
    <w:rsid w:val="00A028CF"/>
    <w:rsid w:val="00A02ACB"/>
    <w:rsid w:val="00A032C2"/>
    <w:rsid w:val="00A03F2E"/>
    <w:rsid w:val="00A03FF7"/>
    <w:rsid w:val="00A04349"/>
    <w:rsid w:val="00A043FD"/>
    <w:rsid w:val="00A04431"/>
    <w:rsid w:val="00A04618"/>
    <w:rsid w:val="00A04933"/>
    <w:rsid w:val="00A04E75"/>
    <w:rsid w:val="00A05473"/>
    <w:rsid w:val="00A054D1"/>
    <w:rsid w:val="00A05962"/>
    <w:rsid w:val="00A05B13"/>
    <w:rsid w:val="00A05CF1"/>
    <w:rsid w:val="00A071AB"/>
    <w:rsid w:val="00A07D3D"/>
    <w:rsid w:val="00A07F36"/>
    <w:rsid w:val="00A11466"/>
    <w:rsid w:val="00A11A9E"/>
    <w:rsid w:val="00A11E52"/>
    <w:rsid w:val="00A130D1"/>
    <w:rsid w:val="00A1311B"/>
    <w:rsid w:val="00A132D1"/>
    <w:rsid w:val="00A13E84"/>
    <w:rsid w:val="00A14592"/>
    <w:rsid w:val="00A1493C"/>
    <w:rsid w:val="00A14ABA"/>
    <w:rsid w:val="00A1649C"/>
    <w:rsid w:val="00A167D5"/>
    <w:rsid w:val="00A16991"/>
    <w:rsid w:val="00A17292"/>
    <w:rsid w:val="00A2023B"/>
    <w:rsid w:val="00A20479"/>
    <w:rsid w:val="00A20521"/>
    <w:rsid w:val="00A20C25"/>
    <w:rsid w:val="00A2116D"/>
    <w:rsid w:val="00A211E5"/>
    <w:rsid w:val="00A212B5"/>
    <w:rsid w:val="00A21F88"/>
    <w:rsid w:val="00A22334"/>
    <w:rsid w:val="00A22638"/>
    <w:rsid w:val="00A2265F"/>
    <w:rsid w:val="00A23203"/>
    <w:rsid w:val="00A23459"/>
    <w:rsid w:val="00A23FE2"/>
    <w:rsid w:val="00A240CF"/>
    <w:rsid w:val="00A24537"/>
    <w:rsid w:val="00A25089"/>
    <w:rsid w:val="00A250DE"/>
    <w:rsid w:val="00A252F6"/>
    <w:rsid w:val="00A25601"/>
    <w:rsid w:val="00A2635D"/>
    <w:rsid w:val="00A2670E"/>
    <w:rsid w:val="00A270D5"/>
    <w:rsid w:val="00A2737F"/>
    <w:rsid w:val="00A27D3D"/>
    <w:rsid w:val="00A3018F"/>
    <w:rsid w:val="00A30352"/>
    <w:rsid w:val="00A316B0"/>
    <w:rsid w:val="00A317EB"/>
    <w:rsid w:val="00A31972"/>
    <w:rsid w:val="00A31A62"/>
    <w:rsid w:val="00A31B43"/>
    <w:rsid w:val="00A3250E"/>
    <w:rsid w:val="00A32FE9"/>
    <w:rsid w:val="00A33196"/>
    <w:rsid w:val="00A3327D"/>
    <w:rsid w:val="00A33A3C"/>
    <w:rsid w:val="00A33B58"/>
    <w:rsid w:val="00A33D86"/>
    <w:rsid w:val="00A34618"/>
    <w:rsid w:val="00A34C93"/>
    <w:rsid w:val="00A34FDC"/>
    <w:rsid w:val="00A3526A"/>
    <w:rsid w:val="00A36755"/>
    <w:rsid w:val="00A37881"/>
    <w:rsid w:val="00A4005A"/>
    <w:rsid w:val="00A40131"/>
    <w:rsid w:val="00A4034F"/>
    <w:rsid w:val="00A40CF8"/>
    <w:rsid w:val="00A4117C"/>
    <w:rsid w:val="00A4230D"/>
    <w:rsid w:val="00A42364"/>
    <w:rsid w:val="00A426AC"/>
    <w:rsid w:val="00A429FD"/>
    <w:rsid w:val="00A43A68"/>
    <w:rsid w:val="00A445BA"/>
    <w:rsid w:val="00A44C0D"/>
    <w:rsid w:val="00A454B2"/>
    <w:rsid w:val="00A466BC"/>
    <w:rsid w:val="00A46BF6"/>
    <w:rsid w:val="00A46C6A"/>
    <w:rsid w:val="00A46FB2"/>
    <w:rsid w:val="00A50C53"/>
    <w:rsid w:val="00A50D41"/>
    <w:rsid w:val="00A50E32"/>
    <w:rsid w:val="00A515B2"/>
    <w:rsid w:val="00A515F5"/>
    <w:rsid w:val="00A516B8"/>
    <w:rsid w:val="00A5192D"/>
    <w:rsid w:val="00A51957"/>
    <w:rsid w:val="00A519A7"/>
    <w:rsid w:val="00A525E0"/>
    <w:rsid w:val="00A5265A"/>
    <w:rsid w:val="00A52B71"/>
    <w:rsid w:val="00A52D8A"/>
    <w:rsid w:val="00A52E0F"/>
    <w:rsid w:val="00A531AB"/>
    <w:rsid w:val="00A53599"/>
    <w:rsid w:val="00A536F2"/>
    <w:rsid w:val="00A537EB"/>
    <w:rsid w:val="00A53CEE"/>
    <w:rsid w:val="00A547A6"/>
    <w:rsid w:val="00A54A9C"/>
    <w:rsid w:val="00A54C2E"/>
    <w:rsid w:val="00A55A6E"/>
    <w:rsid w:val="00A55EDE"/>
    <w:rsid w:val="00A561A7"/>
    <w:rsid w:val="00A56275"/>
    <w:rsid w:val="00A563D5"/>
    <w:rsid w:val="00A57393"/>
    <w:rsid w:val="00A57BF3"/>
    <w:rsid w:val="00A57C62"/>
    <w:rsid w:val="00A57E91"/>
    <w:rsid w:val="00A57EEC"/>
    <w:rsid w:val="00A57F6F"/>
    <w:rsid w:val="00A602BA"/>
    <w:rsid w:val="00A6035C"/>
    <w:rsid w:val="00A605C8"/>
    <w:rsid w:val="00A60953"/>
    <w:rsid w:val="00A6122C"/>
    <w:rsid w:val="00A61640"/>
    <w:rsid w:val="00A616D2"/>
    <w:rsid w:val="00A61864"/>
    <w:rsid w:val="00A61B23"/>
    <w:rsid w:val="00A61C6C"/>
    <w:rsid w:val="00A620F6"/>
    <w:rsid w:val="00A62264"/>
    <w:rsid w:val="00A62592"/>
    <w:rsid w:val="00A62D9A"/>
    <w:rsid w:val="00A634B0"/>
    <w:rsid w:val="00A634CE"/>
    <w:rsid w:val="00A64255"/>
    <w:rsid w:val="00A64389"/>
    <w:rsid w:val="00A6487F"/>
    <w:rsid w:val="00A64A8F"/>
    <w:rsid w:val="00A64F64"/>
    <w:rsid w:val="00A65660"/>
    <w:rsid w:val="00A657D9"/>
    <w:rsid w:val="00A66113"/>
    <w:rsid w:val="00A66667"/>
    <w:rsid w:val="00A668C5"/>
    <w:rsid w:val="00A66EFC"/>
    <w:rsid w:val="00A67097"/>
    <w:rsid w:val="00A70063"/>
    <w:rsid w:val="00A701E4"/>
    <w:rsid w:val="00A70967"/>
    <w:rsid w:val="00A70AE9"/>
    <w:rsid w:val="00A70D83"/>
    <w:rsid w:val="00A7159F"/>
    <w:rsid w:val="00A71848"/>
    <w:rsid w:val="00A71CBD"/>
    <w:rsid w:val="00A72333"/>
    <w:rsid w:val="00A7272E"/>
    <w:rsid w:val="00A728D3"/>
    <w:rsid w:val="00A72A1B"/>
    <w:rsid w:val="00A72D92"/>
    <w:rsid w:val="00A73098"/>
    <w:rsid w:val="00A73478"/>
    <w:rsid w:val="00A73DEA"/>
    <w:rsid w:val="00A74091"/>
    <w:rsid w:val="00A750E2"/>
    <w:rsid w:val="00A75B3A"/>
    <w:rsid w:val="00A76280"/>
    <w:rsid w:val="00A763F0"/>
    <w:rsid w:val="00A7671D"/>
    <w:rsid w:val="00A775CF"/>
    <w:rsid w:val="00A80235"/>
    <w:rsid w:val="00A804F3"/>
    <w:rsid w:val="00A80756"/>
    <w:rsid w:val="00A80B65"/>
    <w:rsid w:val="00A80DE8"/>
    <w:rsid w:val="00A81130"/>
    <w:rsid w:val="00A8185B"/>
    <w:rsid w:val="00A82C7F"/>
    <w:rsid w:val="00A82D8F"/>
    <w:rsid w:val="00A8350B"/>
    <w:rsid w:val="00A83C23"/>
    <w:rsid w:val="00A84386"/>
    <w:rsid w:val="00A8492A"/>
    <w:rsid w:val="00A8566B"/>
    <w:rsid w:val="00A85B60"/>
    <w:rsid w:val="00A85FE7"/>
    <w:rsid w:val="00A86124"/>
    <w:rsid w:val="00A861BC"/>
    <w:rsid w:val="00A8622E"/>
    <w:rsid w:val="00A86445"/>
    <w:rsid w:val="00A86446"/>
    <w:rsid w:val="00A8693A"/>
    <w:rsid w:val="00A86E57"/>
    <w:rsid w:val="00A872DD"/>
    <w:rsid w:val="00A87C8B"/>
    <w:rsid w:val="00A9016A"/>
    <w:rsid w:val="00A901B2"/>
    <w:rsid w:val="00A90F82"/>
    <w:rsid w:val="00A914F2"/>
    <w:rsid w:val="00A92B2C"/>
    <w:rsid w:val="00A942FD"/>
    <w:rsid w:val="00A944D6"/>
    <w:rsid w:val="00A948F8"/>
    <w:rsid w:val="00A950BA"/>
    <w:rsid w:val="00A95483"/>
    <w:rsid w:val="00A9563E"/>
    <w:rsid w:val="00A95A79"/>
    <w:rsid w:val="00AA05C7"/>
    <w:rsid w:val="00AA0669"/>
    <w:rsid w:val="00AA0856"/>
    <w:rsid w:val="00AA08BA"/>
    <w:rsid w:val="00AA0BD7"/>
    <w:rsid w:val="00AA1454"/>
    <w:rsid w:val="00AA183E"/>
    <w:rsid w:val="00AA1B38"/>
    <w:rsid w:val="00AA1D01"/>
    <w:rsid w:val="00AA2060"/>
    <w:rsid w:val="00AA2638"/>
    <w:rsid w:val="00AA26AC"/>
    <w:rsid w:val="00AA28CC"/>
    <w:rsid w:val="00AA2908"/>
    <w:rsid w:val="00AA2929"/>
    <w:rsid w:val="00AA2D01"/>
    <w:rsid w:val="00AA30B3"/>
    <w:rsid w:val="00AA4464"/>
    <w:rsid w:val="00AA446F"/>
    <w:rsid w:val="00AA48CB"/>
    <w:rsid w:val="00AA506C"/>
    <w:rsid w:val="00AA5957"/>
    <w:rsid w:val="00AA5CA5"/>
    <w:rsid w:val="00AA5FAF"/>
    <w:rsid w:val="00AA625E"/>
    <w:rsid w:val="00AA63BD"/>
    <w:rsid w:val="00AA6778"/>
    <w:rsid w:val="00AA69AD"/>
    <w:rsid w:val="00AA79A4"/>
    <w:rsid w:val="00AA7E01"/>
    <w:rsid w:val="00AB0FD4"/>
    <w:rsid w:val="00AB12E8"/>
    <w:rsid w:val="00AB2B18"/>
    <w:rsid w:val="00AB2CB7"/>
    <w:rsid w:val="00AB3B56"/>
    <w:rsid w:val="00AB3DC6"/>
    <w:rsid w:val="00AB405A"/>
    <w:rsid w:val="00AB4130"/>
    <w:rsid w:val="00AB41CE"/>
    <w:rsid w:val="00AB46A3"/>
    <w:rsid w:val="00AB48B7"/>
    <w:rsid w:val="00AB496C"/>
    <w:rsid w:val="00AB4FF5"/>
    <w:rsid w:val="00AB5463"/>
    <w:rsid w:val="00AB6388"/>
    <w:rsid w:val="00AB67D6"/>
    <w:rsid w:val="00AB6E49"/>
    <w:rsid w:val="00AB6EE5"/>
    <w:rsid w:val="00AB7352"/>
    <w:rsid w:val="00AB7927"/>
    <w:rsid w:val="00AC0424"/>
    <w:rsid w:val="00AC1AE0"/>
    <w:rsid w:val="00AC1F3E"/>
    <w:rsid w:val="00AC210B"/>
    <w:rsid w:val="00AC26AB"/>
    <w:rsid w:val="00AC2E54"/>
    <w:rsid w:val="00AC30B5"/>
    <w:rsid w:val="00AC3A78"/>
    <w:rsid w:val="00AC4A33"/>
    <w:rsid w:val="00AC5069"/>
    <w:rsid w:val="00AC588C"/>
    <w:rsid w:val="00AC60B5"/>
    <w:rsid w:val="00AC661C"/>
    <w:rsid w:val="00AC686E"/>
    <w:rsid w:val="00AC68E3"/>
    <w:rsid w:val="00AC69C1"/>
    <w:rsid w:val="00AC6F4B"/>
    <w:rsid w:val="00AC75DB"/>
    <w:rsid w:val="00AC781C"/>
    <w:rsid w:val="00AD0F95"/>
    <w:rsid w:val="00AD1024"/>
    <w:rsid w:val="00AD16C5"/>
    <w:rsid w:val="00AD2066"/>
    <w:rsid w:val="00AD28DB"/>
    <w:rsid w:val="00AD29E8"/>
    <w:rsid w:val="00AD2C01"/>
    <w:rsid w:val="00AD2FD3"/>
    <w:rsid w:val="00AD3000"/>
    <w:rsid w:val="00AD34FC"/>
    <w:rsid w:val="00AD3644"/>
    <w:rsid w:val="00AD3753"/>
    <w:rsid w:val="00AD3980"/>
    <w:rsid w:val="00AD39D2"/>
    <w:rsid w:val="00AD48F3"/>
    <w:rsid w:val="00AD4AC1"/>
    <w:rsid w:val="00AD5073"/>
    <w:rsid w:val="00AD54BD"/>
    <w:rsid w:val="00AD5732"/>
    <w:rsid w:val="00AD5B03"/>
    <w:rsid w:val="00AD5C4F"/>
    <w:rsid w:val="00AD5C88"/>
    <w:rsid w:val="00AD5D43"/>
    <w:rsid w:val="00AD6170"/>
    <w:rsid w:val="00AD6DD3"/>
    <w:rsid w:val="00AD718F"/>
    <w:rsid w:val="00AD74BB"/>
    <w:rsid w:val="00AD77E1"/>
    <w:rsid w:val="00AD7D96"/>
    <w:rsid w:val="00AD7EFB"/>
    <w:rsid w:val="00AE06F8"/>
    <w:rsid w:val="00AE0C01"/>
    <w:rsid w:val="00AE1080"/>
    <w:rsid w:val="00AE14C3"/>
    <w:rsid w:val="00AE14F8"/>
    <w:rsid w:val="00AE1C92"/>
    <w:rsid w:val="00AE1D76"/>
    <w:rsid w:val="00AE21D9"/>
    <w:rsid w:val="00AE28D7"/>
    <w:rsid w:val="00AE2A34"/>
    <w:rsid w:val="00AE337B"/>
    <w:rsid w:val="00AE3561"/>
    <w:rsid w:val="00AE38ED"/>
    <w:rsid w:val="00AE3A01"/>
    <w:rsid w:val="00AE3F6A"/>
    <w:rsid w:val="00AE4059"/>
    <w:rsid w:val="00AE439C"/>
    <w:rsid w:val="00AE4CE0"/>
    <w:rsid w:val="00AE54E1"/>
    <w:rsid w:val="00AE593D"/>
    <w:rsid w:val="00AE65AF"/>
    <w:rsid w:val="00AE74E2"/>
    <w:rsid w:val="00AF0144"/>
    <w:rsid w:val="00AF02D1"/>
    <w:rsid w:val="00AF0791"/>
    <w:rsid w:val="00AF09FE"/>
    <w:rsid w:val="00AF0BE9"/>
    <w:rsid w:val="00AF1371"/>
    <w:rsid w:val="00AF1B24"/>
    <w:rsid w:val="00AF1CCA"/>
    <w:rsid w:val="00AF1D03"/>
    <w:rsid w:val="00AF229B"/>
    <w:rsid w:val="00AF2CD1"/>
    <w:rsid w:val="00AF3048"/>
    <w:rsid w:val="00AF332E"/>
    <w:rsid w:val="00AF35BD"/>
    <w:rsid w:val="00AF3856"/>
    <w:rsid w:val="00AF3C4A"/>
    <w:rsid w:val="00AF3DE3"/>
    <w:rsid w:val="00AF49EC"/>
    <w:rsid w:val="00AF5974"/>
    <w:rsid w:val="00AF5CED"/>
    <w:rsid w:val="00AF5DE4"/>
    <w:rsid w:val="00AF633F"/>
    <w:rsid w:val="00AF69C0"/>
    <w:rsid w:val="00AF6A23"/>
    <w:rsid w:val="00AF7AC4"/>
    <w:rsid w:val="00B00E68"/>
    <w:rsid w:val="00B0178F"/>
    <w:rsid w:val="00B0212D"/>
    <w:rsid w:val="00B02916"/>
    <w:rsid w:val="00B02D1C"/>
    <w:rsid w:val="00B0338E"/>
    <w:rsid w:val="00B03671"/>
    <w:rsid w:val="00B036B4"/>
    <w:rsid w:val="00B039E0"/>
    <w:rsid w:val="00B04706"/>
    <w:rsid w:val="00B0473F"/>
    <w:rsid w:val="00B04B10"/>
    <w:rsid w:val="00B04B5A"/>
    <w:rsid w:val="00B0505E"/>
    <w:rsid w:val="00B05BB4"/>
    <w:rsid w:val="00B05FBE"/>
    <w:rsid w:val="00B06045"/>
    <w:rsid w:val="00B06DCC"/>
    <w:rsid w:val="00B07117"/>
    <w:rsid w:val="00B104F5"/>
    <w:rsid w:val="00B107E2"/>
    <w:rsid w:val="00B11186"/>
    <w:rsid w:val="00B11A5A"/>
    <w:rsid w:val="00B12138"/>
    <w:rsid w:val="00B1225F"/>
    <w:rsid w:val="00B12699"/>
    <w:rsid w:val="00B1269D"/>
    <w:rsid w:val="00B126D0"/>
    <w:rsid w:val="00B12AF7"/>
    <w:rsid w:val="00B13804"/>
    <w:rsid w:val="00B13840"/>
    <w:rsid w:val="00B13D48"/>
    <w:rsid w:val="00B14D6D"/>
    <w:rsid w:val="00B15226"/>
    <w:rsid w:val="00B15804"/>
    <w:rsid w:val="00B15E90"/>
    <w:rsid w:val="00B162E6"/>
    <w:rsid w:val="00B16305"/>
    <w:rsid w:val="00B1630B"/>
    <w:rsid w:val="00B165E0"/>
    <w:rsid w:val="00B16BAE"/>
    <w:rsid w:val="00B176DB"/>
    <w:rsid w:val="00B20AA9"/>
    <w:rsid w:val="00B20B88"/>
    <w:rsid w:val="00B20DBD"/>
    <w:rsid w:val="00B212EB"/>
    <w:rsid w:val="00B213E7"/>
    <w:rsid w:val="00B215AC"/>
    <w:rsid w:val="00B218DD"/>
    <w:rsid w:val="00B22020"/>
    <w:rsid w:val="00B2278E"/>
    <w:rsid w:val="00B22B3B"/>
    <w:rsid w:val="00B23390"/>
    <w:rsid w:val="00B236DA"/>
    <w:rsid w:val="00B23BB2"/>
    <w:rsid w:val="00B241BC"/>
    <w:rsid w:val="00B243DD"/>
    <w:rsid w:val="00B24750"/>
    <w:rsid w:val="00B24AD6"/>
    <w:rsid w:val="00B254B7"/>
    <w:rsid w:val="00B25993"/>
    <w:rsid w:val="00B259D3"/>
    <w:rsid w:val="00B25A0B"/>
    <w:rsid w:val="00B25DB5"/>
    <w:rsid w:val="00B26BA1"/>
    <w:rsid w:val="00B26C65"/>
    <w:rsid w:val="00B27038"/>
    <w:rsid w:val="00B27070"/>
    <w:rsid w:val="00B2797A"/>
    <w:rsid w:val="00B30511"/>
    <w:rsid w:val="00B30DEB"/>
    <w:rsid w:val="00B310B9"/>
    <w:rsid w:val="00B31299"/>
    <w:rsid w:val="00B31514"/>
    <w:rsid w:val="00B31763"/>
    <w:rsid w:val="00B31823"/>
    <w:rsid w:val="00B31B15"/>
    <w:rsid w:val="00B31E50"/>
    <w:rsid w:val="00B3283E"/>
    <w:rsid w:val="00B33503"/>
    <w:rsid w:val="00B345A4"/>
    <w:rsid w:val="00B346AD"/>
    <w:rsid w:val="00B346D9"/>
    <w:rsid w:val="00B34F62"/>
    <w:rsid w:val="00B35DB8"/>
    <w:rsid w:val="00B35E08"/>
    <w:rsid w:val="00B3604A"/>
    <w:rsid w:val="00B36336"/>
    <w:rsid w:val="00B367BB"/>
    <w:rsid w:val="00B3740C"/>
    <w:rsid w:val="00B37712"/>
    <w:rsid w:val="00B4041B"/>
    <w:rsid w:val="00B404CE"/>
    <w:rsid w:val="00B414CA"/>
    <w:rsid w:val="00B416A9"/>
    <w:rsid w:val="00B421EB"/>
    <w:rsid w:val="00B42533"/>
    <w:rsid w:val="00B42880"/>
    <w:rsid w:val="00B428E3"/>
    <w:rsid w:val="00B429EA"/>
    <w:rsid w:val="00B43212"/>
    <w:rsid w:val="00B4327F"/>
    <w:rsid w:val="00B433F9"/>
    <w:rsid w:val="00B43512"/>
    <w:rsid w:val="00B43678"/>
    <w:rsid w:val="00B437D0"/>
    <w:rsid w:val="00B439BA"/>
    <w:rsid w:val="00B4401A"/>
    <w:rsid w:val="00B443D5"/>
    <w:rsid w:val="00B44940"/>
    <w:rsid w:val="00B45250"/>
    <w:rsid w:val="00B45A1D"/>
    <w:rsid w:val="00B45CC6"/>
    <w:rsid w:val="00B45EDC"/>
    <w:rsid w:val="00B461D4"/>
    <w:rsid w:val="00B46328"/>
    <w:rsid w:val="00B4737E"/>
    <w:rsid w:val="00B47785"/>
    <w:rsid w:val="00B4787D"/>
    <w:rsid w:val="00B47898"/>
    <w:rsid w:val="00B503A2"/>
    <w:rsid w:val="00B51248"/>
    <w:rsid w:val="00B518DA"/>
    <w:rsid w:val="00B519F0"/>
    <w:rsid w:val="00B51A64"/>
    <w:rsid w:val="00B53D1D"/>
    <w:rsid w:val="00B54BBD"/>
    <w:rsid w:val="00B55597"/>
    <w:rsid w:val="00B55691"/>
    <w:rsid w:val="00B55AF8"/>
    <w:rsid w:val="00B55EC0"/>
    <w:rsid w:val="00B56336"/>
    <w:rsid w:val="00B56856"/>
    <w:rsid w:val="00B56877"/>
    <w:rsid w:val="00B568CF"/>
    <w:rsid w:val="00B56914"/>
    <w:rsid w:val="00B56EFF"/>
    <w:rsid w:val="00B5729E"/>
    <w:rsid w:val="00B573BB"/>
    <w:rsid w:val="00B57C36"/>
    <w:rsid w:val="00B57F2F"/>
    <w:rsid w:val="00B60131"/>
    <w:rsid w:val="00B60595"/>
    <w:rsid w:val="00B605DC"/>
    <w:rsid w:val="00B607B9"/>
    <w:rsid w:val="00B60E4B"/>
    <w:rsid w:val="00B628F5"/>
    <w:rsid w:val="00B62A64"/>
    <w:rsid w:val="00B63FB5"/>
    <w:rsid w:val="00B64028"/>
    <w:rsid w:val="00B641EF"/>
    <w:rsid w:val="00B64943"/>
    <w:rsid w:val="00B64978"/>
    <w:rsid w:val="00B64AEF"/>
    <w:rsid w:val="00B6570F"/>
    <w:rsid w:val="00B65D9A"/>
    <w:rsid w:val="00B662DF"/>
    <w:rsid w:val="00B66FCE"/>
    <w:rsid w:val="00B670D3"/>
    <w:rsid w:val="00B6716D"/>
    <w:rsid w:val="00B70066"/>
    <w:rsid w:val="00B700B1"/>
    <w:rsid w:val="00B7059D"/>
    <w:rsid w:val="00B70772"/>
    <w:rsid w:val="00B70C35"/>
    <w:rsid w:val="00B70D36"/>
    <w:rsid w:val="00B70EFC"/>
    <w:rsid w:val="00B70FAF"/>
    <w:rsid w:val="00B718ED"/>
    <w:rsid w:val="00B7194F"/>
    <w:rsid w:val="00B71A72"/>
    <w:rsid w:val="00B71D26"/>
    <w:rsid w:val="00B72298"/>
    <w:rsid w:val="00B7242C"/>
    <w:rsid w:val="00B72679"/>
    <w:rsid w:val="00B72A1B"/>
    <w:rsid w:val="00B72ADA"/>
    <w:rsid w:val="00B72FD5"/>
    <w:rsid w:val="00B73524"/>
    <w:rsid w:val="00B73803"/>
    <w:rsid w:val="00B73AFA"/>
    <w:rsid w:val="00B73DF0"/>
    <w:rsid w:val="00B74608"/>
    <w:rsid w:val="00B746DC"/>
    <w:rsid w:val="00B74E70"/>
    <w:rsid w:val="00B75069"/>
    <w:rsid w:val="00B754A1"/>
    <w:rsid w:val="00B76040"/>
    <w:rsid w:val="00B76118"/>
    <w:rsid w:val="00B765DB"/>
    <w:rsid w:val="00B76845"/>
    <w:rsid w:val="00B76CD1"/>
    <w:rsid w:val="00B771E9"/>
    <w:rsid w:val="00B7743A"/>
    <w:rsid w:val="00B7787D"/>
    <w:rsid w:val="00B805D2"/>
    <w:rsid w:val="00B809AC"/>
    <w:rsid w:val="00B80DE1"/>
    <w:rsid w:val="00B8190E"/>
    <w:rsid w:val="00B81C78"/>
    <w:rsid w:val="00B81D05"/>
    <w:rsid w:val="00B82FB4"/>
    <w:rsid w:val="00B83398"/>
    <w:rsid w:val="00B83991"/>
    <w:rsid w:val="00B83CC4"/>
    <w:rsid w:val="00B849FE"/>
    <w:rsid w:val="00B85C50"/>
    <w:rsid w:val="00B85C8E"/>
    <w:rsid w:val="00B85F97"/>
    <w:rsid w:val="00B86286"/>
    <w:rsid w:val="00B862CE"/>
    <w:rsid w:val="00B868A2"/>
    <w:rsid w:val="00B877FC"/>
    <w:rsid w:val="00B8793C"/>
    <w:rsid w:val="00B9000A"/>
    <w:rsid w:val="00B9000D"/>
    <w:rsid w:val="00B90120"/>
    <w:rsid w:val="00B903E5"/>
    <w:rsid w:val="00B91945"/>
    <w:rsid w:val="00B91A08"/>
    <w:rsid w:val="00B91AA3"/>
    <w:rsid w:val="00B91D85"/>
    <w:rsid w:val="00B91ED5"/>
    <w:rsid w:val="00B92593"/>
    <w:rsid w:val="00B93082"/>
    <w:rsid w:val="00B931F5"/>
    <w:rsid w:val="00B93558"/>
    <w:rsid w:val="00B93FE3"/>
    <w:rsid w:val="00B94661"/>
    <w:rsid w:val="00B95016"/>
    <w:rsid w:val="00B9519F"/>
    <w:rsid w:val="00B9564D"/>
    <w:rsid w:val="00B95840"/>
    <w:rsid w:val="00B961C7"/>
    <w:rsid w:val="00B972AE"/>
    <w:rsid w:val="00B97377"/>
    <w:rsid w:val="00B974A0"/>
    <w:rsid w:val="00B97F79"/>
    <w:rsid w:val="00BA08E8"/>
    <w:rsid w:val="00BA0911"/>
    <w:rsid w:val="00BA1118"/>
    <w:rsid w:val="00BA1843"/>
    <w:rsid w:val="00BA19D4"/>
    <w:rsid w:val="00BA1FEF"/>
    <w:rsid w:val="00BA242D"/>
    <w:rsid w:val="00BA2916"/>
    <w:rsid w:val="00BA2934"/>
    <w:rsid w:val="00BA2BEE"/>
    <w:rsid w:val="00BA3120"/>
    <w:rsid w:val="00BA35EB"/>
    <w:rsid w:val="00BA367C"/>
    <w:rsid w:val="00BA418E"/>
    <w:rsid w:val="00BA43F7"/>
    <w:rsid w:val="00BA45B5"/>
    <w:rsid w:val="00BA4A63"/>
    <w:rsid w:val="00BA4F0A"/>
    <w:rsid w:val="00BA502F"/>
    <w:rsid w:val="00BA5859"/>
    <w:rsid w:val="00BA5C3B"/>
    <w:rsid w:val="00BA65D8"/>
    <w:rsid w:val="00BA6E42"/>
    <w:rsid w:val="00BA6EED"/>
    <w:rsid w:val="00BA740C"/>
    <w:rsid w:val="00BA78BC"/>
    <w:rsid w:val="00BA7D4B"/>
    <w:rsid w:val="00BB08F9"/>
    <w:rsid w:val="00BB0AFD"/>
    <w:rsid w:val="00BB0D37"/>
    <w:rsid w:val="00BB11EE"/>
    <w:rsid w:val="00BB1270"/>
    <w:rsid w:val="00BB1F81"/>
    <w:rsid w:val="00BB21A0"/>
    <w:rsid w:val="00BB2469"/>
    <w:rsid w:val="00BB2BB7"/>
    <w:rsid w:val="00BB2E74"/>
    <w:rsid w:val="00BB2FAE"/>
    <w:rsid w:val="00BB32BB"/>
    <w:rsid w:val="00BB39B7"/>
    <w:rsid w:val="00BB3AF1"/>
    <w:rsid w:val="00BB438D"/>
    <w:rsid w:val="00BB4B44"/>
    <w:rsid w:val="00BB4D37"/>
    <w:rsid w:val="00BB4DDF"/>
    <w:rsid w:val="00BB4ECE"/>
    <w:rsid w:val="00BB4FA3"/>
    <w:rsid w:val="00BB55A9"/>
    <w:rsid w:val="00BB57E0"/>
    <w:rsid w:val="00BB5DA3"/>
    <w:rsid w:val="00BB5E65"/>
    <w:rsid w:val="00BB6241"/>
    <w:rsid w:val="00BB692F"/>
    <w:rsid w:val="00BB6DB3"/>
    <w:rsid w:val="00BB6FA8"/>
    <w:rsid w:val="00BB7B14"/>
    <w:rsid w:val="00BB7C8C"/>
    <w:rsid w:val="00BB7F23"/>
    <w:rsid w:val="00BC00BD"/>
    <w:rsid w:val="00BC04CA"/>
    <w:rsid w:val="00BC08B5"/>
    <w:rsid w:val="00BC165C"/>
    <w:rsid w:val="00BC1BF8"/>
    <w:rsid w:val="00BC1F3E"/>
    <w:rsid w:val="00BC21AB"/>
    <w:rsid w:val="00BC23F2"/>
    <w:rsid w:val="00BC3476"/>
    <w:rsid w:val="00BC3C86"/>
    <w:rsid w:val="00BC3EDD"/>
    <w:rsid w:val="00BC3F91"/>
    <w:rsid w:val="00BC4263"/>
    <w:rsid w:val="00BC4827"/>
    <w:rsid w:val="00BC4996"/>
    <w:rsid w:val="00BC4F3B"/>
    <w:rsid w:val="00BC522B"/>
    <w:rsid w:val="00BC580E"/>
    <w:rsid w:val="00BC5C37"/>
    <w:rsid w:val="00BC6144"/>
    <w:rsid w:val="00BC6370"/>
    <w:rsid w:val="00BC6C63"/>
    <w:rsid w:val="00BC7371"/>
    <w:rsid w:val="00BC73AF"/>
    <w:rsid w:val="00BC7BC3"/>
    <w:rsid w:val="00BC7E25"/>
    <w:rsid w:val="00BD02D7"/>
    <w:rsid w:val="00BD044F"/>
    <w:rsid w:val="00BD0653"/>
    <w:rsid w:val="00BD1125"/>
    <w:rsid w:val="00BD1FB2"/>
    <w:rsid w:val="00BD25A8"/>
    <w:rsid w:val="00BD29D2"/>
    <w:rsid w:val="00BD2A29"/>
    <w:rsid w:val="00BD2DAB"/>
    <w:rsid w:val="00BD307C"/>
    <w:rsid w:val="00BD3641"/>
    <w:rsid w:val="00BD3827"/>
    <w:rsid w:val="00BD4112"/>
    <w:rsid w:val="00BD442B"/>
    <w:rsid w:val="00BD4599"/>
    <w:rsid w:val="00BD4F4E"/>
    <w:rsid w:val="00BD5131"/>
    <w:rsid w:val="00BD5357"/>
    <w:rsid w:val="00BD583C"/>
    <w:rsid w:val="00BD636E"/>
    <w:rsid w:val="00BD6CA9"/>
    <w:rsid w:val="00BD7069"/>
    <w:rsid w:val="00BD7398"/>
    <w:rsid w:val="00BD7CD2"/>
    <w:rsid w:val="00BD7E9B"/>
    <w:rsid w:val="00BE03BE"/>
    <w:rsid w:val="00BE03F2"/>
    <w:rsid w:val="00BE0614"/>
    <w:rsid w:val="00BE0743"/>
    <w:rsid w:val="00BE1506"/>
    <w:rsid w:val="00BE174E"/>
    <w:rsid w:val="00BE1DCC"/>
    <w:rsid w:val="00BE1E49"/>
    <w:rsid w:val="00BE2091"/>
    <w:rsid w:val="00BE26AF"/>
    <w:rsid w:val="00BE26B6"/>
    <w:rsid w:val="00BE2E31"/>
    <w:rsid w:val="00BE2E4C"/>
    <w:rsid w:val="00BE3AA7"/>
    <w:rsid w:val="00BE404A"/>
    <w:rsid w:val="00BE4961"/>
    <w:rsid w:val="00BE4B15"/>
    <w:rsid w:val="00BE5450"/>
    <w:rsid w:val="00BE56BC"/>
    <w:rsid w:val="00BE588D"/>
    <w:rsid w:val="00BE5DF7"/>
    <w:rsid w:val="00BE5F46"/>
    <w:rsid w:val="00BE71A6"/>
    <w:rsid w:val="00BE7454"/>
    <w:rsid w:val="00BE7694"/>
    <w:rsid w:val="00BE7C6C"/>
    <w:rsid w:val="00BE7CE4"/>
    <w:rsid w:val="00BF0475"/>
    <w:rsid w:val="00BF0A82"/>
    <w:rsid w:val="00BF1151"/>
    <w:rsid w:val="00BF1838"/>
    <w:rsid w:val="00BF1E2A"/>
    <w:rsid w:val="00BF263A"/>
    <w:rsid w:val="00BF376C"/>
    <w:rsid w:val="00BF39AC"/>
    <w:rsid w:val="00BF3A9F"/>
    <w:rsid w:val="00BF431A"/>
    <w:rsid w:val="00BF43C1"/>
    <w:rsid w:val="00BF4623"/>
    <w:rsid w:val="00BF4A8E"/>
    <w:rsid w:val="00BF5244"/>
    <w:rsid w:val="00BF68DA"/>
    <w:rsid w:val="00BF7770"/>
    <w:rsid w:val="00C001AF"/>
    <w:rsid w:val="00C01192"/>
    <w:rsid w:val="00C01885"/>
    <w:rsid w:val="00C02014"/>
    <w:rsid w:val="00C0310F"/>
    <w:rsid w:val="00C03214"/>
    <w:rsid w:val="00C033B1"/>
    <w:rsid w:val="00C035DB"/>
    <w:rsid w:val="00C040DA"/>
    <w:rsid w:val="00C0444D"/>
    <w:rsid w:val="00C04BB5"/>
    <w:rsid w:val="00C052E4"/>
    <w:rsid w:val="00C05423"/>
    <w:rsid w:val="00C0584E"/>
    <w:rsid w:val="00C05893"/>
    <w:rsid w:val="00C067B1"/>
    <w:rsid w:val="00C067CE"/>
    <w:rsid w:val="00C1004C"/>
    <w:rsid w:val="00C10743"/>
    <w:rsid w:val="00C107E8"/>
    <w:rsid w:val="00C109B5"/>
    <w:rsid w:val="00C10BA6"/>
    <w:rsid w:val="00C10C3F"/>
    <w:rsid w:val="00C10EA8"/>
    <w:rsid w:val="00C116B1"/>
    <w:rsid w:val="00C11B91"/>
    <w:rsid w:val="00C12A52"/>
    <w:rsid w:val="00C12CDA"/>
    <w:rsid w:val="00C12F6C"/>
    <w:rsid w:val="00C130B1"/>
    <w:rsid w:val="00C152D1"/>
    <w:rsid w:val="00C153A9"/>
    <w:rsid w:val="00C15512"/>
    <w:rsid w:val="00C15801"/>
    <w:rsid w:val="00C16CD0"/>
    <w:rsid w:val="00C1704B"/>
    <w:rsid w:val="00C17068"/>
    <w:rsid w:val="00C17666"/>
    <w:rsid w:val="00C17C0F"/>
    <w:rsid w:val="00C17C3F"/>
    <w:rsid w:val="00C20128"/>
    <w:rsid w:val="00C20272"/>
    <w:rsid w:val="00C20416"/>
    <w:rsid w:val="00C206D6"/>
    <w:rsid w:val="00C20CA0"/>
    <w:rsid w:val="00C20D82"/>
    <w:rsid w:val="00C21406"/>
    <w:rsid w:val="00C21D14"/>
    <w:rsid w:val="00C2210D"/>
    <w:rsid w:val="00C22A21"/>
    <w:rsid w:val="00C23798"/>
    <w:rsid w:val="00C23978"/>
    <w:rsid w:val="00C24CD3"/>
    <w:rsid w:val="00C24CDA"/>
    <w:rsid w:val="00C2589B"/>
    <w:rsid w:val="00C25A60"/>
    <w:rsid w:val="00C25F54"/>
    <w:rsid w:val="00C260C0"/>
    <w:rsid w:val="00C27119"/>
    <w:rsid w:val="00C27613"/>
    <w:rsid w:val="00C2762D"/>
    <w:rsid w:val="00C27673"/>
    <w:rsid w:val="00C30277"/>
    <w:rsid w:val="00C303EA"/>
    <w:rsid w:val="00C304EA"/>
    <w:rsid w:val="00C319CE"/>
    <w:rsid w:val="00C32042"/>
    <w:rsid w:val="00C32824"/>
    <w:rsid w:val="00C32D2E"/>
    <w:rsid w:val="00C32E97"/>
    <w:rsid w:val="00C33DF5"/>
    <w:rsid w:val="00C340F6"/>
    <w:rsid w:val="00C34564"/>
    <w:rsid w:val="00C34685"/>
    <w:rsid w:val="00C35383"/>
    <w:rsid w:val="00C3557E"/>
    <w:rsid w:val="00C35A27"/>
    <w:rsid w:val="00C35DDA"/>
    <w:rsid w:val="00C3642B"/>
    <w:rsid w:val="00C36AA9"/>
    <w:rsid w:val="00C37331"/>
    <w:rsid w:val="00C376D4"/>
    <w:rsid w:val="00C40B75"/>
    <w:rsid w:val="00C40E88"/>
    <w:rsid w:val="00C413EB"/>
    <w:rsid w:val="00C4193A"/>
    <w:rsid w:val="00C41CC1"/>
    <w:rsid w:val="00C42457"/>
    <w:rsid w:val="00C426A2"/>
    <w:rsid w:val="00C42839"/>
    <w:rsid w:val="00C4286B"/>
    <w:rsid w:val="00C42DBA"/>
    <w:rsid w:val="00C446DC"/>
    <w:rsid w:val="00C44BDE"/>
    <w:rsid w:val="00C44DC0"/>
    <w:rsid w:val="00C453F3"/>
    <w:rsid w:val="00C45439"/>
    <w:rsid w:val="00C4553E"/>
    <w:rsid w:val="00C45C85"/>
    <w:rsid w:val="00C45F63"/>
    <w:rsid w:val="00C46DBA"/>
    <w:rsid w:val="00C472C1"/>
    <w:rsid w:val="00C4749B"/>
    <w:rsid w:val="00C47CE0"/>
    <w:rsid w:val="00C50108"/>
    <w:rsid w:val="00C50139"/>
    <w:rsid w:val="00C50292"/>
    <w:rsid w:val="00C50641"/>
    <w:rsid w:val="00C509AA"/>
    <w:rsid w:val="00C509CE"/>
    <w:rsid w:val="00C50BD5"/>
    <w:rsid w:val="00C50E82"/>
    <w:rsid w:val="00C5139E"/>
    <w:rsid w:val="00C51497"/>
    <w:rsid w:val="00C51509"/>
    <w:rsid w:val="00C51936"/>
    <w:rsid w:val="00C51A39"/>
    <w:rsid w:val="00C51D18"/>
    <w:rsid w:val="00C51E58"/>
    <w:rsid w:val="00C52D25"/>
    <w:rsid w:val="00C52FC9"/>
    <w:rsid w:val="00C532F3"/>
    <w:rsid w:val="00C53461"/>
    <w:rsid w:val="00C53710"/>
    <w:rsid w:val="00C5375D"/>
    <w:rsid w:val="00C538E4"/>
    <w:rsid w:val="00C53919"/>
    <w:rsid w:val="00C53B41"/>
    <w:rsid w:val="00C5484F"/>
    <w:rsid w:val="00C54D1C"/>
    <w:rsid w:val="00C55AC2"/>
    <w:rsid w:val="00C55ED1"/>
    <w:rsid w:val="00C5609E"/>
    <w:rsid w:val="00C56319"/>
    <w:rsid w:val="00C563A8"/>
    <w:rsid w:val="00C564C6"/>
    <w:rsid w:val="00C56770"/>
    <w:rsid w:val="00C57869"/>
    <w:rsid w:val="00C60796"/>
    <w:rsid w:val="00C610B6"/>
    <w:rsid w:val="00C611B3"/>
    <w:rsid w:val="00C61466"/>
    <w:rsid w:val="00C61FA0"/>
    <w:rsid w:val="00C624AC"/>
    <w:rsid w:val="00C624C0"/>
    <w:rsid w:val="00C62679"/>
    <w:rsid w:val="00C631A4"/>
    <w:rsid w:val="00C63276"/>
    <w:rsid w:val="00C63D01"/>
    <w:rsid w:val="00C63D0E"/>
    <w:rsid w:val="00C64F00"/>
    <w:rsid w:val="00C65C4E"/>
    <w:rsid w:val="00C661BE"/>
    <w:rsid w:val="00C665BA"/>
    <w:rsid w:val="00C668AC"/>
    <w:rsid w:val="00C67CAC"/>
    <w:rsid w:val="00C7035A"/>
    <w:rsid w:val="00C7063D"/>
    <w:rsid w:val="00C70887"/>
    <w:rsid w:val="00C709D9"/>
    <w:rsid w:val="00C71B43"/>
    <w:rsid w:val="00C71F5E"/>
    <w:rsid w:val="00C72DB8"/>
    <w:rsid w:val="00C740BA"/>
    <w:rsid w:val="00C743A4"/>
    <w:rsid w:val="00C76075"/>
    <w:rsid w:val="00C7679B"/>
    <w:rsid w:val="00C7695C"/>
    <w:rsid w:val="00C771DF"/>
    <w:rsid w:val="00C77216"/>
    <w:rsid w:val="00C80931"/>
    <w:rsid w:val="00C81443"/>
    <w:rsid w:val="00C815DD"/>
    <w:rsid w:val="00C81C6C"/>
    <w:rsid w:val="00C81CDB"/>
    <w:rsid w:val="00C81EB6"/>
    <w:rsid w:val="00C82052"/>
    <w:rsid w:val="00C82752"/>
    <w:rsid w:val="00C8331A"/>
    <w:rsid w:val="00C8370F"/>
    <w:rsid w:val="00C83E7A"/>
    <w:rsid w:val="00C84098"/>
    <w:rsid w:val="00C84EFA"/>
    <w:rsid w:val="00C85272"/>
    <w:rsid w:val="00C856FA"/>
    <w:rsid w:val="00C85B8D"/>
    <w:rsid w:val="00C85DF0"/>
    <w:rsid w:val="00C87060"/>
    <w:rsid w:val="00C874E0"/>
    <w:rsid w:val="00C874E7"/>
    <w:rsid w:val="00C87782"/>
    <w:rsid w:val="00C878BC"/>
    <w:rsid w:val="00C87F09"/>
    <w:rsid w:val="00C908D8"/>
    <w:rsid w:val="00C91ABF"/>
    <w:rsid w:val="00C91B3E"/>
    <w:rsid w:val="00C93305"/>
    <w:rsid w:val="00C93CB7"/>
    <w:rsid w:val="00C942A1"/>
    <w:rsid w:val="00C94560"/>
    <w:rsid w:val="00C94EAE"/>
    <w:rsid w:val="00C94F22"/>
    <w:rsid w:val="00C94F41"/>
    <w:rsid w:val="00C95165"/>
    <w:rsid w:val="00C95367"/>
    <w:rsid w:val="00C956A5"/>
    <w:rsid w:val="00C95C54"/>
    <w:rsid w:val="00C972D0"/>
    <w:rsid w:val="00C97A00"/>
    <w:rsid w:val="00C97B24"/>
    <w:rsid w:val="00CA048B"/>
    <w:rsid w:val="00CA048C"/>
    <w:rsid w:val="00CA13DB"/>
    <w:rsid w:val="00CA1F43"/>
    <w:rsid w:val="00CA22EC"/>
    <w:rsid w:val="00CA23DF"/>
    <w:rsid w:val="00CA23F7"/>
    <w:rsid w:val="00CA2479"/>
    <w:rsid w:val="00CA25D4"/>
    <w:rsid w:val="00CA36B8"/>
    <w:rsid w:val="00CA37EC"/>
    <w:rsid w:val="00CA3836"/>
    <w:rsid w:val="00CA408B"/>
    <w:rsid w:val="00CA4365"/>
    <w:rsid w:val="00CA511B"/>
    <w:rsid w:val="00CA5720"/>
    <w:rsid w:val="00CA575A"/>
    <w:rsid w:val="00CA5830"/>
    <w:rsid w:val="00CA678B"/>
    <w:rsid w:val="00CA67E3"/>
    <w:rsid w:val="00CA6DFA"/>
    <w:rsid w:val="00CA6E30"/>
    <w:rsid w:val="00CA7067"/>
    <w:rsid w:val="00CA7199"/>
    <w:rsid w:val="00CA7357"/>
    <w:rsid w:val="00CA74BD"/>
    <w:rsid w:val="00CA7B31"/>
    <w:rsid w:val="00CA7FED"/>
    <w:rsid w:val="00CB0200"/>
    <w:rsid w:val="00CB132B"/>
    <w:rsid w:val="00CB1491"/>
    <w:rsid w:val="00CB1819"/>
    <w:rsid w:val="00CB19A2"/>
    <w:rsid w:val="00CB22F3"/>
    <w:rsid w:val="00CB2E47"/>
    <w:rsid w:val="00CB39E7"/>
    <w:rsid w:val="00CB45F3"/>
    <w:rsid w:val="00CB470F"/>
    <w:rsid w:val="00CB570F"/>
    <w:rsid w:val="00CB5E63"/>
    <w:rsid w:val="00CB6FBB"/>
    <w:rsid w:val="00CB753A"/>
    <w:rsid w:val="00CB7600"/>
    <w:rsid w:val="00CC0A8C"/>
    <w:rsid w:val="00CC1195"/>
    <w:rsid w:val="00CC15D4"/>
    <w:rsid w:val="00CC1AFA"/>
    <w:rsid w:val="00CC1D54"/>
    <w:rsid w:val="00CC2125"/>
    <w:rsid w:val="00CC23B8"/>
    <w:rsid w:val="00CC2683"/>
    <w:rsid w:val="00CC2875"/>
    <w:rsid w:val="00CC2B4A"/>
    <w:rsid w:val="00CC36DA"/>
    <w:rsid w:val="00CC42A9"/>
    <w:rsid w:val="00CC4554"/>
    <w:rsid w:val="00CC45E1"/>
    <w:rsid w:val="00CC46B5"/>
    <w:rsid w:val="00CC5FEB"/>
    <w:rsid w:val="00CC62FF"/>
    <w:rsid w:val="00CC6392"/>
    <w:rsid w:val="00CC63AE"/>
    <w:rsid w:val="00CC6565"/>
    <w:rsid w:val="00CC6EAA"/>
    <w:rsid w:val="00CC77BA"/>
    <w:rsid w:val="00CC77CC"/>
    <w:rsid w:val="00CC7ADD"/>
    <w:rsid w:val="00CD042D"/>
    <w:rsid w:val="00CD0B8D"/>
    <w:rsid w:val="00CD0F70"/>
    <w:rsid w:val="00CD1894"/>
    <w:rsid w:val="00CD18EC"/>
    <w:rsid w:val="00CD1CA2"/>
    <w:rsid w:val="00CD2269"/>
    <w:rsid w:val="00CD226F"/>
    <w:rsid w:val="00CD22D9"/>
    <w:rsid w:val="00CD2595"/>
    <w:rsid w:val="00CD266B"/>
    <w:rsid w:val="00CD2A8E"/>
    <w:rsid w:val="00CD2C15"/>
    <w:rsid w:val="00CD2CFA"/>
    <w:rsid w:val="00CD3137"/>
    <w:rsid w:val="00CD3448"/>
    <w:rsid w:val="00CD362E"/>
    <w:rsid w:val="00CD484B"/>
    <w:rsid w:val="00CD4D97"/>
    <w:rsid w:val="00CD5993"/>
    <w:rsid w:val="00CD5B09"/>
    <w:rsid w:val="00CD5F90"/>
    <w:rsid w:val="00CD6283"/>
    <w:rsid w:val="00CD631C"/>
    <w:rsid w:val="00CD762B"/>
    <w:rsid w:val="00CD7986"/>
    <w:rsid w:val="00CD7F9F"/>
    <w:rsid w:val="00CE050C"/>
    <w:rsid w:val="00CE06A9"/>
    <w:rsid w:val="00CE0834"/>
    <w:rsid w:val="00CE0E23"/>
    <w:rsid w:val="00CE119E"/>
    <w:rsid w:val="00CE12C0"/>
    <w:rsid w:val="00CE1353"/>
    <w:rsid w:val="00CE175E"/>
    <w:rsid w:val="00CE198C"/>
    <w:rsid w:val="00CE21C9"/>
    <w:rsid w:val="00CE2311"/>
    <w:rsid w:val="00CE23BF"/>
    <w:rsid w:val="00CE43BC"/>
    <w:rsid w:val="00CE4576"/>
    <w:rsid w:val="00CE4A2C"/>
    <w:rsid w:val="00CE4AB9"/>
    <w:rsid w:val="00CE4CD8"/>
    <w:rsid w:val="00CE4E84"/>
    <w:rsid w:val="00CE5C14"/>
    <w:rsid w:val="00CE611F"/>
    <w:rsid w:val="00CE650F"/>
    <w:rsid w:val="00CE65A6"/>
    <w:rsid w:val="00CE751C"/>
    <w:rsid w:val="00CE7DC7"/>
    <w:rsid w:val="00CF0E9C"/>
    <w:rsid w:val="00CF154A"/>
    <w:rsid w:val="00CF160C"/>
    <w:rsid w:val="00CF190E"/>
    <w:rsid w:val="00CF2245"/>
    <w:rsid w:val="00CF23BA"/>
    <w:rsid w:val="00CF330A"/>
    <w:rsid w:val="00CF36CC"/>
    <w:rsid w:val="00CF3A3E"/>
    <w:rsid w:val="00CF3DC3"/>
    <w:rsid w:val="00CF443F"/>
    <w:rsid w:val="00CF4661"/>
    <w:rsid w:val="00CF46F3"/>
    <w:rsid w:val="00CF4AB0"/>
    <w:rsid w:val="00CF4F78"/>
    <w:rsid w:val="00CF53F1"/>
    <w:rsid w:val="00CF55ED"/>
    <w:rsid w:val="00CF564E"/>
    <w:rsid w:val="00CF5C24"/>
    <w:rsid w:val="00CF61AD"/>
    <w:rsid w:val="00CF653C"/>
    <w:rsid w:val="00CF67A4"/>
    <w:rsid w:val="00CF6A07"/>
    <w:rsid w:val="00CF6BC2"/>
    <w:rsid w:val="00CF7078"/>
    <w:rsid w:val="00CF76A1"/>
    <w:rsid w:val="00CF78ED"/>
    <w:rsid w:val="00CF7C88"/>
    <w:rsid w:val="00CF7CB3"/>
    <w:rsid w:val="00D00504"/>
    <w:rsid w:val="00D00C6D"/>
    <w:rsid w:val="00D00F6B"/>
    <w:rsid w:val="00D011B2"/>
    <w:rsid w:val="00D0125A"/>
    <w:rsid w:val="00D016DE"/>
    <w:rsid w:val="00D01A79"/>
    <w:rsid w:val="00D02002"/>
    <w:rsid w:val="00D02048"/>
    <w:rsid w:val="00D020DF"/>
    <w:rsid w:val="00D0221D"/>
    <w:rsid w:val="00D0227C"/>
    <w:rsid w:val="00D02389"/>
    <w:rsid w:val="00D02C69"/>
    <w:rsid w:val="00D02CFC"/>
    <w:rsid w:val="00D02E7B"/>
    <w:rsid w:val="00D032D0"/>
    <w:rsid w:val="00D03BC7"/>
    <w:rsid w:val="00D03C5A"/>
    <w:rsid w:val="00D046AA"/>
    <w:rsid w:val="00D04E91"/>
    <w:rsid w:val="00D05D04"/>
    <w:rsid w:val="00D05FB9"/>
    <w:rsid w:val="00D06DFF"/>
    <w:rsid w:val="00D06FFE"/>
    <w:rsid w:val="00D07473"/>
    <w:rsid w:val="00D078DE"/>
    <w:rsid w:val="00D07E6C"/>
    <w:rsid w:val="00D10019"/>
    <w:rsid w:val="00D10165"/>
    <w:rsid w:val="00D10604"/>
    <w:rsid w:val="00D10818"/>
    <w:rsid w:val="00D109B3"/>
    <w:rsid w:val="00D11CA8"/>
    <w:rsid w:val="00D11FE6"/>
    <w:rsid w:val="00D1289D"/>
    <w:rsid w:val="00D12926"/>
    <w:rsid w:val="00D13E09"/>
    <w:rsid w:val="00D1427E"/>
    <w:rsid w:val="00D14549"/>
    <w:rsid w:val="00D148B6"/>
    <w:rsid w:val="00D14F52"/>
    <w:rsid w:val="00D14FF3"/>
    <w:rsid w:val="00D155E4"/>
    <w:rsid w:val="00D156C9"/>
    <w:rsid w:val="00D15F3C"/>
    <w:rsid w:val="00D1724E"/>
    <w:rsid w:val="00D1751A"/>
    <w:rsid w:val="00D17556"/>
    <w:rsid w:val="00D178B4"/>
    <w:rsid w:val="00D17A33"/>
    <w:rsid w:val="00D17BCC"/>
    <w:rsid w:val="00D201A2"/>
    <w:rsid w:val="00D20414"/>
    <w:rsid w:val="00D20912"/>
    <w:rsid w:val="00D20DD6"/>
    <w:rsid w:val="00D211B0"/>
    <w:rsid w:val="00D211E2"/>
    <w:rsid w:val="00D213DD"/>
    <w:rsid w:val="00D2141A"/>
    <w:rsid w:val="00D21662"/>
    <w:rsid w:val="00D2224D"/>
    <w:rsid w:val="00D222CE"/>
    <w:rsid w:val="00D222FC"/>
    <w:rsid w:val="00D22438"/>
    <w:rsid w:val="00D22826"/>
    <w:rsid w:val="00D22B91"/>
    <w:rsid w:val="00D22C4D"/>
    <w:rsid w:val="00D23386"/>
    <w:rsid w:val="00D23C95"/>
    <w:rsid w:val="00D23CEF"/>
    <w:rsid w:val="00D243F9"/>
    <w:rsid w:val="00D24437"/>
    <w:rsid w:val="00D247BF"/>
    <w:rsid w:val="00D2519F"/>
    <w:rsid w:val="00D253AB"/>
    <w:rsid w:val="00D25653"/>
    <w:rsid w:val="00D25B6D"/>
    <w:rsid w:val="00D26B76"/>
    <w:rsid w:val="00D2712C"/>
    <w:rsid w:val="00D27F0C"/>
    <w:rsid w:val="00D3117F"/>
    <w:rsid w:val="00D315DF"/>
    <w:rsid w:val="00D31C9A"/>
    <w:rsid w:val="00D3225B"/>
    <w:rsid w:val="00D32A53"/>
    <w:rsid w:val="00D331B3"/>
    <w:rsid w:val="00D33A1E"/>
    <w:rsid w:val="00D33E76"/>
    <w:rsid w:val="00D33FDB"/>
    <w:rsid w:val="00D34513"/>
    <w:rsid w:val="00D34A17"/>
    <w:rsid w:val="00D34C0F"/>
    <w:rsid w:val="00D35555"/>
    <w:rsid w:val="00D35B54"/>
    <w:rsid w:val="00D35C54"/>
    <w:rsid w:val="00D361D3"/>
    <w:rsid w:val="00D3710F"/>
    <w:rsid w:val="00D37560"/>
    <w:rsid w:val="00D37833"/>
    <w:rsid w:val="00D4053A"/>
    <w:rsid w:val="00D40E2F"/>
    <w:rsid w:val="00D414D7"/>
    <w:rsid w:val="00D41996"/>
    <w:rsid w:val="00D41B46"/>
    <w:rsid w:val="00D4326F"/>
    <w:rsid w:val="00D4340C"/>
    <w:rsid w:val="00D437A4"/>
    <w:rsid w:val="00D43918"/>
    <w:rsid w:val="00D444E4"/>
    <w:rsid w:val="00D44EA2"/>
    <w:rsid w:val="00D45036"/>
    <w:rsid w:val="00D45BA2"/>
    <w:rsid w:val="00D45C66"/>
    <w:rsid w:val="00D45D2C"/>
    <w:rsid w:val="00D4600D"/>
    <w:rsid w:val="00D466E3"/>
    <w:rsid w:val="00D469AA"/>
    <w:rsid w:val="00D46A34"/>
    <w:rsid w:val="00D470AF"/>
    <w:rsid w:val="00D47464"/>
    <w:rsid w:val="00D47911"/>
    <w:rsid w:val="00D47F8A"/>
    <w:rsid w:val="00D50BBC"/>
    <w:rsid w:val="00D51358"/>
    <w:rsid w:val="00D5148C"/>
    <w:rsid w:val="00D5159F"/>
    <w:rsid w:val="00D516A3"/>
    <w:rsid w:val="00D52068"/>
    <w:rsid w:val="00D52237"/>
    <w:rsid w:val="00D52C55"/>
    <w:rsid w:val="00D5332C"/>
    <w:rsid w:val="00D53676"/>
    <w:rsid w:val="00D53EAA"/>
    <w:rsid w:val="00D53F5F"/>
    <w:rsid w:val="00D54135"/>
    <w:rsid w:val="00D54159"/>
    <w:rsid w:val="00D54B6B"/>
    <w:rsid w:val="00D5560B"/>
    <w:rsid w:val="00D559B7"/>
    <w:rsid w:val="00D56C6B"/>
    <w:rsid w:val="00D57AF1"/>
    <w:rsid w:val="00D57B66"/>
    <w:rsid w:val="00D60309"/>
    <w:rsid w:val="00D610D0"/>
    <w:rsid w:val="00D6167D"/>
    <w:rsid w:val="00D61AAD"/>
    <w:rsid w:val="00D61E93"/>
    <w:rsid w:val="00D61EC8"/>
    <w:rsid w:val="00D62629"/>
    <w:rsid w:val="00D62B28"/>
    <w:rsid w:val="00D62E7F"/>
    <w:rsid w:val="00D6330A"/>
    <w:rsid w:val="00D63F54"/>
    <w:rsid w:val="00D642A8"/>
    <w:rsid w:val="00D64FA1"/>
    <w:rsid w:val="00D6529E"/>
    <w:rsid w:val="00D6536A"/>
    <w:rsid w:val="00D65A85"/>
    <w:rsid w:val="00D6656C"/>
    <w:rsid w:val="00D666E2"/>
    <w:rsid w:val="00D6670B"/>
    <w:rsid w:val="00D6708F"/>
    <w:rsid w:val="00D67170"/>
    <w:rsid w:val="00D671A1"/>
    <w:rsid w:val="00D67985"/>
    <w:rsid w:val="00D67BFA"/>
    <w:rsid w:val="00D67F4B"/>
    <w:rsid w:val="00D70571"/>
    <w:rsid w:val="00D705F5"/>
    <w:rsid w:val="00D7097A"/>
    <w:rsid w:val="00D70F56"/>
    <w:rsid w:val="00D715AF"/>
    <w:rsid w:val="00D71B49"/>
    <w:rsid w:val="00D72A14"/>
    <w:rsid w:val="00D72DA3"/>
    <w:rsid w:val="00D731CE"/>
    <w:rsid w:val="00D735AB"/>
    <w:rsid w:val="00D73805"/>
    <w:rsid w:val="00D73A30"/>
    <w:rsid w:val="00D74229"/>
    <w:rsid w:val="00D748A0"/>
    <w:rsid w:val="00D749BB"/>
    <w:rsid w:val="00D74E0C"/>
    <w:rsid w:val="00D75230"/>
    <w:rsid w:val="00D752A7"/>
    <w:rsid w:val="00D75614"/>
    <w:rsid w:val="00D75652"/>
    <w:rsid w:val="00D75784"/>
    <w:rsid w:val="00D75C7B"/>
    <w:rsid w:val="00D761EB"/>
    <w:rsid w:val="00D767D3"/>
    <w:rsid w:val="00D76C54"/>
    <w:rsid w:val="00D7763B"/>
    <w:rsid w:val="00D779FD"/>
    <w:rsid w:val="00D77A37"/>
    <w:rsid w:val="00D77E14"/>
    <w:rsid w:val="00D800A9"/>
    <w:rsid w:val="00D804AD"/>
    <w:rsid w:val="00D808D9"/>
    <w:rsid w:val="00D80E2B"/>
    <w:rsid w:val="00D80E80"/>
    <w:rsid w:val="00D81196"/>
    <w:rsid w:val="00D81EA4"/>
    <w:rsid w:val="00D833BB"/>
    <w:rsid w:val="00D83A66"/>
    <w:rsid w:val="00D83C9D"/>
    <w:rsid w:val="00D83E6A"/>
    <w:rsid w:val="00D83FB2"/>
    <w:rsid w:val="00D8403B"/>
    <w:rsid w:val="00D84098"/>
    <w:rsid w:val="00D84354"/>
    <w:rsid w:val="00D847DD"/>
    <w:rsid w:val="00D849D4"/>
    <w:rsid w:val="00D84B7B"/>
    <w:rsid w:val="00D854B8"/>
    <w:rsid w:val="00D857A8"/>
    <w:rsid w:val="00D85B42"/>
    <w:rsid w:val="00D85BF7"/>
    <w:rsid w:val="00D85E81"/>
    <w:rsid w:val="00D85EF4"/>
    <w:rsid w:val="00D86449"/>
    <w:rsid w:val="00D866C8"/>
    <w:rsid w:val="00D86D8E"/>
    <w:rsid w:val="00D870F2"/>
    <w:rsid w:val="00D873BF"/>
    <w:rsid w:val="00D873C3"/>
    <w:rsid w:val="00D8783A"/>
    <w:rsid w:val="00D879D5"/>
    <w:rsid w:val="00D901CB"/>
    <w:rsid w:val="00D906EA"/>
    <w:rsid w:val="00D91037"/>
    <w:rsid w:val="00D910DC"/>
    <w:rsid w:val="00D91E75"/>
    <w:rsid w:val="00D92A11"/>
    <w:rsid w:val="00D93F8E"/>
    <w:rsid w:val="00D9426D"/>
    <w:rsid w:val="00D943C5"/>
    <w:rsid w:val="00D94CA2"/>
    <w:rsid w:val="00D94EEF"/>
    <w:rsid w:val="00D9505A"/>
    <w:rsid w:val="00D9542D"/>
    <w:rsid w:val="00D95EDA"/>
    <w:rsid w:val="00D965A5"/>
    <w:rsid w:val="00D965AC"/>
    <w:rsid w:val="00D967AB"/>
    <w:rsid w:val="00DA0957"/>
    <w:rsid w:val="00DA0DE1"/>
    <w:rsid w:val="00DA0E70"/>
    <w:rsid w:val="00DA17F3"/>
    <w:rsid w:val="00DA1CA2"/>
    <w:rsid w:val="00DA22F5"/>
    <w:rsid w:val="00DA26B9"/>
    <w:rsid w:val="00DA324D"/>
    <w:rsid w:val="00DA37A2"/>
    <w:rsid w:val="00DA411C"/>
    <w:rsid w:val="00DA4735"/>
    <w:rsid w:val="00DA4A9D"/>
    <w:rsid w:val="00DA4C2E"/>
    <w:rsid w:val="00DA501C"/>
    <w:rsid w:val="00DA54E9"/>
    <w:rsid w:val="00DA5CB5"/>
    <w:rsid w:val="00DA67B7"/>
    <w:rsid w:val="00DA6E42"/>
    <w:rsid w:val="00DA7460"/>
    <w:rsid w:val="00DA792F"/>
    <w:rsid w:val="00DA7A55"/>
    <w:rsid w:val="00DA7BA8"/>
    <w:rsid w:val="00DB0112"/>
    <w:rsid w:val="00DB0310"/>
    <w:rsid w:val="00DB0724"/>
    <w:rsid w:val="00DB149A"/>
    <w:rsid w:val="00DB1F55"/>
    <w:rsid w:val="00DB1FA4"/>
    <w:rsid w:val="00DB20BF"/>
    <w:rsid w:val="00DB2542"/>
    <w:rsid w:val="00DB4287"/>
    <w:rsid w:val="00DB470C"/>
    <w:rsid w:val="00DB473C"/>
    <w:rsid w:val="00DB486D"/>
    <w:rsid w:val="00DB4C95"/>
    <w:rsid w:val="00DB4D57"/>
    <w:rsid w:val="00DB5A39"/>
    <w:rsid w:val="00DB5ED4"/>
    <w:rsid w:val="00DB643C"/>
    <w:rsid w:val="00DC07E5"/>
    <w:rsid w:val="00DC150A"/>
    <w:rsid w:val="00DC1712"/>
    <w:rsid w:val="00DC19AB"/>
    <w:rsid w:val="00DC19D5"/>
    <w:rsid w:val="00DC2390"/>
    <w:rsid w:val="00DC2877"/>
    <w:rsid w:val="00DC2A67"/>
    <w:rsid w:val="00DC3042"/>
    <w:rsid w:val="00DC3353"/>
    <w:rsid w:val="00DC33ED"/>
    <w:rsid w:val="00DC349C"/>
    <w:rsid w:val="00DC36B0"/>
    <w:rsid w:val="00DC3753"/>
    <w:rsid w:val="00DC3C21"/>
    <w:rsid w:val="00DC49C5"/>
    <w:rsid w:val="00DC4B31"/>
    <w:rsid w:val="00DC4E73"/>
    <w:rsid w:val="00DC50A0"/>
    <w:rsid w:val="00DC598D"/>
    <w:rsid w:val="00DC5EC2"/>
    <w:rsid w:val="00DC5F45"/>
    <w:rsid w:val="00DC5F86"/>
    <w:rsid w:val="00DC68AD"/>
    <w:rsid w:val="00DC74EB"/>
    <w:rsid w:val="00DC7D16"/>
    <w:rsid w:val="00DC7D8B"/>
    <w:rsid w:val="00DC7D93"/>
    <w:rsid w:val="00DC7DF3"/>
    <w:rsid w:val="00DC7E9D"/>
    <w:rsid w:val="00DD0316"/>
    <w:rsid w:val="00DD0AC3"/>
    <w:rsid w:val="00DD12C4"/>
    <w:rsid w:val="00DD14AC"/>
    <w:rsid w:val="00DD19F9"/>
    <w:rsid w:val="00DD2004"/>
    <w:rsid w:val="00DD21FE"/>
    <w:rsid w:val="00DD271E"/>
    <w:rsid w:val="00DD2855"/>
    <w:rsid w:val="00DD29CE"/>
    <w:rsid w:val="00DD3985"/>
    <w:rsid w:val="00DD3B4A"/>
    <w:rsid w:val="00DD426B"/>
    <w:rsid w:val="00DD4F65"/>
    <w:rsid w:val="00DD51E3"/>
    <w:rsid w:val="00DD5FD0"/>
    <w:rsid w:val="00DD62EB"/>
    <w:rsid w:val="00DD70DA"/>
    <w:rsid w:val="00DD77D8"/>
    <w:rsid w:val="00DD792D"/>
    <w:rsid w:val="00DD7B66"/>
    <w:rsid w:val="00DD7D1F"/>
    <w:rsid w:val="00DE06F8"/>
    <w:rsid w:val="00DE0830"/>
    <w:rsid w:val="00DE084D"/>
    <w:rsid w:val="00DE08BD"/>
    <w:rsid w:val="00DE0D2F"/>
    <w:rsid w:val="00DE1B67"/>
    <w:rsid w:val="00DE1F5D"/>
    <w:rsid w:val="00DE242F"/>
    <w:rsid w:val="00DE2BD6"/>
    <w:rsid w:val="00DE31AE"/>
    <w:rsid w:val="00DE3C4D"/>
    <w:rsid w:val="00DE4546"/>
    <w:rsid w:val="00DE4FBC"/>
    <w:rsid w:val="00DE521E"/>
    <w:rsid w:val="00DE53D5"/>
    <w:rsid w:val="00DE5E8B"/>
    <w:rsid w:val="00DE65AD"/>
    <w:rsid w:val="00DE704C"/>
    <w:rsid w:val="00DE730B"/>
    <w:rsid w:val="00DE7395"/>
    <w:rsid w:val="00DE78FE"/>
    <w:rsid w:val="00DE7918"/>
    <w:rsid w:val="00DE79CF"/>
    <w:rsid w:val="00DE7AD0"/>
    <w:rsid w:val="00DE7B8B"/>
    <w:rsid w:val="00DE7CA6"/>
    <w:rsid w:val="00DF018B"/>
    <w:rsid w:val="00DF0306"/>
    <w:rsid w:val="00DF0AC9"/>
    <w:rsid w:val="00DF1165"/>
    <w:rsid w:val="00DF1D77"/>
    <w:rsid w:val="00DF202A"/>
    <w:rsid w:val="00DF2FE6"/>
    <w:rsid w:val="00DF365A"/>
    <w:rsid w:val="00DF3B41"/>
    <w:rsid w:val="00DF4391"/>
    <w:rsid w:val="00DF48E5"/>
    <w:rsid w:val="00DF4C3C"/>
    <w:rsid w:val="00DF4CD2"/>
    <w:rsid w:val="00DF4EE6"/>
    <w:rsid w:val="00DF5C41"/>
    <w:rsid w:val="00DF6AFD"/>
    <w:rsid w:val="00DF70E1"/>
    <w:rsid w:val="00DF78D0"/>
    <w:rsid w:val="00DF7944"/>
    <w:rsid w:val="00DF7A52"/>
    <w:rsid w:val="00E005CB"/>
    <w:rsid w:val="00E00653"/>
    <w:rsid w:val="00E00C11"/>
    <w:rsid w:val="00E00EBE"/>
    <w:rsid w:val="00E013FD"/>
    <w:rsid w:val="00E019F1"/>
    <w:rsid w:val="00E0254F"/>
    <w:rsid w:val="00E02635"/>
    <w:rsid w:val="00E02C24"/>
    <w:rsid w:val="00E02C2B"/>
    <w:rsid w:val="00E02F3E"/>
    <w:rsid w:val="00E02FFC"/>
    <w:rsid w:val="00E03086"/>
    <w:rsid w:val="00E03285"/>
    <w:rsid w:val="00E035FF"/>
    <w:rsid w:val="00E038EE"/>
    <w:rsid w:val="00E03AE8"/>
    <w:rsid w:val="00E03BB2"/>
    <w:rsid w:val="00E042D2"/>
    <w:rsid w:val="00E04536"/>
    <w:rsid w:val="00E04E84"/>
    <w:rsid w:val="00E05245"/>
    <w:rsid w:val="00E0550B"/>
    <w:rsid w:val="00E05967"/>
    <w:rsid w:val="00E05B72"/>
    <w:rsid w:val="00E064CB"/>
    <w:rsid w:val="00E06551"/>
    <w:rsid w:val="00E0664C"/>
    <w:rsid w:val="00E0685B"/>
    <w:rsid w:val="00E06C8B"/>
    <w:rsid w:val="00E06E3A"/>
    <w:rsid w:val="00E06FAB"/>
    <w:rsid w:val="00E07803"/>
    <w:rsid w:val="00E112B6"/>
    <w:rsid w:val="00E11559"/>
    <w:rsid w:val="00E118C4"/>
    <w:rsid w:val="00E11C1A"/>
    <w:rsid w:val="00E11E9B"/>
    <w:rsid w:val="00E12012"/>
    <w:rsid w:val="00E120DE"/>
    <w:rsid w:val="00E128BA"/>
    <w:rsid w:val="00E12BDC"/>
    <w:rsid w:val="00E134E8"/>
    <w:rsid w:val="00E13A9F"/>
    <w:rsid w:val="00E13CE4"/>
    <w:rsid w:val="00E147ED"/>
    <w:rsid w:val="00E14866"/>
    <w:rsid w:val="00E14BDE"/>
    <w:rsid w:val="00E14EA9"/>
    <w:rsid w:val="00E14F1A"/>
    <w:rsid w:val="00E15316"/>
    <w:rsid w:val="00E15651"/>
    <w:rsid w:val="00E1599B"/>
    <w:rsid w:val="00E15CFA"/>
    <w:rsid w:val="00E1600E"/>
    <w:rsid w:val="00E16062"/>
    <w:rsid w:val="00E164CC"/>
    <w:rsid w:val="00E1677F"/>
    <w:rsid w:val="00E169B8"/>
    <w:rsid w:val="00E17A6D"/>
    <w:rsid w:val="00E20095"/>
    <w:rsid w:val="00E203DF"/>
    <w:rsid w:val="00E2066C"/>
    <w:rsid w:val="00E20EC5"/>
    <w:rsid w:val="00E21231"/>
    <w:rsid w:val="00E21651"/>
    <w:rsid w:val="00E21C6D"/>
    <w:rsid w:val="00E22670"/>
    <w:rsid w:val="00E226CD"/>
    <w:rsid w:val="00E22BC3"/>
    <w:rsid w:val="00E23725"/>
    <w:rsid w:val="00E2415B"/>
    <w:rsid w:val="00E2453F"/>
    <w:rsid w:val="00E25201"/>
    <w:rsid w:val="00E2559D"/>
    <w:rsid w:val="00E26530"/>
    <w:rsid w:val="00E267CB"/>
    <w:rsid w:val="00E26C1C"/>
    <w:rsid w:val="00E26C6E"/>
    <w:rsid w:val="00E26E09"/>
    <w:rsid w:val="00E2706E"/>
    <w:rsid w:val="00E2709F"/>
    <w:rsid w:val="00E30B39"/>
    <w:rsid w:val="00E31952"/>
    <w:rsid w:val="00E31962"/>
    <w:rsid w:val="00E31F3C"/>
    <w:rsid w:val="00E3204D"/>
    <w:rsid w:val="00E32906"/>
    <w:rsid w:val="00E32D21"/>
    <w:rsid w:val="00E331AF"/>
    <w:rsid w:val="00E3384E"/>
    <w:rsid w:val="00E34087"/>
    <w:rsid w:val="00E34550"/>
    <w:rsid w:val="00E34836"/>
    <w:rsid w:val="00E34CE8"/>
    <w:rsid w:val="00E3500E"/>
    <w:rsid w:val="00E35A5D"/>
    <w:rsid w:val="00E35D65"/>
    <w:rsid w:val="00E360EC"/>
    <w:rsid w:val="00E36197"/>
    <w:rsid w:val="00E36784"/>
    <w:rsid w:val="00E36C5A"/>
    <w:rsid w:val="00E379E9"/>
    <w:rsid w:val="00E37B40"/>
    <w:rsid w:val="00E37DD3"/>
    <w:rsid w:val="00E40341"/>
    <w:rsid w:val="00E406AC"/>
    <w:rsid w:val="00E40A0C"/>
    <w:rsid w:val="00E40C46"/>
    <w:rsid w:val="00E40C8F"/>
    <w:rsid w:val="00E40EBE"/>
    <w:rsid w:val="00E40ED6"/>
    <w:rsid w:val="00E41358"/>
    <w:rsid w:val="00E41BE1"/>
    <w:rsid w:val="00E41F5D"/>
    <w:rsid w:val="00E42483"/>
    <w:rsid w:val="00E4295D"/>
    <w:rsid w:val="00E429F8"/>
    <w:rsid w:val="00E432D1"/>
    <w:rsid w:val="00E43980"/>
    <w:rsid w:val="00E43A06"/>
    <w:rsid w:val="00E43A54"/>
    <w:rsid w:val="00E44BC1"/>
    <w:rsid w:val="00E44DF9"/>
    <w:rsid w:val="00E4534C"/>
    <w:rsid w:val="00E4580F"/>
    <w:rsid w:val="00E45B66"/>
    <w:rsid w:val="00E45C68"/>
    <w:rsid w:val="00E45CA2"/>
    <w:rsid w:val="00E46122"/>
    <w:rsid w:val="00E46AE6"/>
    <w:rsid w:val="00E478B5"/>
    <w:rsid w:val="00E47936"/>
    <w:rsid w:val="00E47BF8"/>
    <w:rsid w:val="00E50401"/>
    <w:rsid w:val="00E50F88"/>
    <w:rsid w:val="00E50FBA"/>
    <w:rsid w:val="00E51073"/>
    <w:rsid w:val="00E514F3"/>
    <w:rsid w:val="00E518EA"/>
    <w:rsid w:val="00E51C00"/>
    <w:rsid w:val="00E5381B"/>
    <w:rsid w:val="00E554D1"/>
    <w:rsid w:val="00E55B3E"/>
    <w:rsid w:val="00E5606F"/>
    <w:rsid w:val="00E56109"/>
    <w:rsid w:val="00E565DB"/>
    <w:rsid w:val="00E57111"/>
    <w:rsid w:val="00E579FB"/>
    <w:rsid w:val="00E600FB"/>
    <w:rsid w:val="00E60560"/>
    <w:rsid w:val="00E608B5"/>
    <w:rsid w:val="00E60DCC"/>
    <w:rsid w:val="00E617E4"/>
    <w:rsid w:val="00E61810"/>
    <w:rsid w:val="00E61A86"/>
    <w:rsid w:val="00E62120"/>
    <w:rsid w:val="00E6213A"/>
    <w:rsid w:val="00E627B3"/>
    <w:rsid w:val="00E62BB6"/>
    <w:rsid w:val="00E62CDA"/>
    <w:rsid w:val="00E62FAA"/>
    <w:rsid w:val="00E63812"/>
    <w:rsid w:val="00E63F5C"/>
    <w:rsid w:val="00E640D1"/>
    <w:rsid w:val="00E643D1"/>
    <w:rsid w:val="00E64F23"/>
    <w:rsid w:val="00E655C5"/>
    <w:rsid w:val="00E657FB"/>
    <w:rsid w:val="00E65CD5"/>
    <w:rsid w:val="00E65DD6"/>
    <w:rsid w:val="00E66012"/>
    <w:rsid w:val="00E660AE"/>
    <w:rsid w:val="00E6619D"/>
    <w:rsid w:val="00E66428"/>
    <w:rsid w:val="00E666F7"/>
    <w:rsid w:val="00E66B05"/>
    <w:rsid w:val="00E66C60"/>
    <w:rsid w:val="00E66E21"/>
    <w:rsid w:val="00E671F9"/>
    <w:rsid w:val="00E67627"/>
    <w:rsid w:val="00E67F0F"/>
    <w:rsid w:val="00E67F8A"/>
    <w:rsid w:val="00E70195"/>
    <w:rsid w:val="00E708A1"/>
    <w:rsid w:val="00E71727"/>
    <w:rsid w:val="00E71C24"/>
    <w:rsid w:val="00E720E0"/>
    <w:rsid w:val="00E72291"/>
    <w:rsid w:val="00E724FC"/>
    <w:rsid w:val="00E73788"/>
    <w:rsid w:val="00E74131"/>
    <w:rsid w:val="00E74801"/>
    <w:rsid w:val="00E74E0C"/>
    <w:rsid w:val="00E75200"/>
    <w:rsid w:val="00E75813"/>
    <w:rsid w:val="00E75E5F"/>
    <w:rsid w:val="00E75F14"/>
    <w:rsid w:val="00E75F59"/>
    <w:rsid w:val="00E7676F"/>
    <w:rsid w:val="00E76A28"/>
    <w:rsid w:val="00E771F5"/>
    <w:rsid w:val="00E7773D"/>
    <w:rsid w:val="00E778BB"/>
    <w:rsid w:val="00E77966"/>
    <w:rsid w:val="00E77D00"/>
    <w:rsid w:val="00E8085F"/>
    <w:rsid w:val="00E80D93"/>
    <w:rsid w:val="00E80E17"/>
    <w:rsid w:val="00E80EE8"/>
    <w:rsid w:val="00E819B3"/>
    <w:rsid w:val="00E81B79"/>
    <w:rsid w:val="00E820E8"/>
    <w:rsid w:val="00E826CF"/>
    <w:rsid w:val="00E8307A"/>
    <w:rsid w:val="00E832B3"/>
    <w:rsid w:val="00E836D2"/>
    <w:rsid w:val="00E83C58"/>
    <w:rsid w:val="00E83D2C"/>
    <w:rsid w:val="00E83F73"/>
    <w:rsid w:val="00E84036"/>
    <w:rsid w:val="00E8472D"/>
    <w:rsid w:val="00E85396"/>
    <w:rsid w:val="00E857F1"/>
    <w:rsid w:val="00E865F9"/>
    <w:rsid w:val="00E869C9"/>
    <w:rsid w:val="00E86E1C"/>
    <w:rsid w:val="00E86FB5"/>
    <w:rsid w:val="00E87690"/>
    <w:rsid w:val="00E90BA5"/>
    <w:rsid w:val="00E90BB3"/>
    <w:rsid w:val="00E919E1"/>
    <w:rsid w:val="00E92592"/>
    <w:rsid w:val="00E927D5"/>
    <w:rsid w:val="00E92DB6"/>
    <w:rsid w:val="00E92DFF"/>
    <w:rsid w:val="00E92E8D"/>
    <w:rsid w:val="00E9322C"/>
    <w:rsid w:val="00E936F6"/>
    <w:rsid w:val="00E93899"/>
    <w:rsid w:val="00E93E63"/>
    <w:rsid w:val="00E9512C"/>
    <w:rsid w:val="00E95BEB"/>
    <w:rsid w:val="00E96017"/>
    <w:rsid w:val="00E96157"/>
    <w:rsid w:val="00E962FD"/>
    <w:rsid w:val="00E977DE"/>
    <w:rsid w:val="00E97E53"/>
    <w:rsid w:val="00E97E98"/>
    <w:rsid w:val="00EA05AC"/>
    <w:rsid w:val="00EA0CDD"/>
    <w:rsid w:val="00EA0CE0"/>
    <w:rsid w:val="00EA0CE4"/>
    <w:rsid w:val="00EA0D76"/>
    <w:rsid w:val="00EA27B3"/>
    <w:rsid w:val="00EA2F07"/>
    <w:rsid w:val="00EA3CB1"/>
    <w:rsid w:val="00EA3D6E"/>
    <w:rsid w:val="00EA4047"/>
    <w:rsid w:val="00EA49E8"/>
    <w:rsid w:val="00EA4DB2"/>
    <w:rsid w:val="00EA4F34"/>
    <w:rsid w:val="00EA5004"/>
    <w:rsid w:val="00EA54CE"/>
    <w:rsid w:val="00EA553D"/>
    <w:rsid w:val="00EA575A"/>
    <w:rsid w:val="00EA57A4"/>
    <w:rsid w:val="00EA5808"/>
    <w:rsid w:val="00EA69DB"/>
    <w:rsid w:val="00EA6D4B"/>
    <w:rsid w:val="00EA7319"/>
    <w:rsid w:val="00EA752D"/>
    <w:rsid w:val="00EA796F"/>
    <w:rsid w:val="00EB1B19"/>
    <w:rsid w:val="00EB1CB7"/>
    <w:rsid w:val="00EB1F2D"/>
    <w:rsid w:val="00EB1F57"/>
    <w:rsid w:val="00EB2756"/>
    <w:rsid w:val="00EB41C2"/>
    <w:rsid w:val="00EB443B"/>
    <w:rsid w:val="00EB45C0"/>
    <w:rsid w:val="00EB4642"/>
    <w:rsid w:val="00EB52DB"/>
    <w:rsid w:val="00EB5CDF"/>
    <w:rsid w:val="00EB6315"/>
    <w:rsid w:val="00EB65F5"/>
    <w:rsid w:val="00EB6B65"/>
    <w:rsid w:val="00EB6D46"/>
    <w:rsid w:val="00EB7B5F"/>
    <w:rsid w:val="00EC008A"/>
    <w:rsid w:val="00EC0610"/>
    <w:rsid w:val="00EC065E"/>
    <w:rsid w:val="00EC0B7C"/>
    <w:rsid w:val="00EC0E8D"/>
    <w:rsid w:val="00EC10EC"/>
    <w:rsid w:val="00EC11BD"/>
    <w:rsid w:val="00EC143A"/>
    <w:rsid w:val="00EC1768"/>
    <w:rsid w:val="00EC2FFD"/>
    <w:rsid w:val="00EC32A8"/>
    <w:rsid w:val="00EC35B9"/>
    <w:rsid w:val="00EC3CFE"/>
    <w:rsid w:val="00EC3FFE"/>
    <w:rsid w:val="00EC4381"/>
    <w:rsid w:val="00EC4525"/>
    <w:rsid w:val="00EC50F0"/>
    <w:rsid w:val="00EC5141"/>
    <w:rsid w:val="00EC5537"/>
    <w:rsid w:val="00EC5CFA"/>
    <w:rsid w:val="00EC5F42"/>
    <w:rsid w:val="00EC615A"/>
    <w:rsid w:val="00EC6286"/>
    <w:rsid w:val="00EC62BB"/>
    <w:rsid w:val="00EC6AB7"/>
    <w:rsid w:val="00EC794F"/>
    <w:rsid w:val="00EC7E40"/>
    <w:rsid w:val="00EC7F03"/>
    <w:rsid w:val="00ED0124"/>
    <w:rsid w:val="00ED06D0"/>
    <w:rsid w:val="00ED0FA0"/>
    <w:rsid w:val="00ED127A"/>
    <w:rsid w:val="00ED34AD"/>
    <w:rsid w:val="00ED4328"/>
    <w:rsid w:val="00ED44B7"/>
    <w:rsid w:val="00ED49EE"/>
    <w:rsid w:val="00ED4A2F"/>
    <w:rsid w:val="00ED4D46"/>
    <w:rsid w:val="00ED4D7A"/>
    <w:rsid w:val="00ED50C0"/>
    <w:rsid w:val="00ED5409"/>
    <w:rsid w:val="00ED579F"/>
    <w:rsid w:val="00ED58B7"/>
    <w:rsid w:val="00ED591E"/>
    <w:rsid w:val="00ED6B21"/>
    <w:rsid w:val="00ED6BE8"/>
    <w:rsid w:val="00ED6C48"/>
    <w:rsid w:val="00ED7308"/>
    <w:rsid w:val="00ED7459"/>
    <w:rsid w:val="00ED781B"/>
    <w:rsid w:val="00ED7B5C"/>
    <w:rsid w:val="00ED7B73"/>
    <w:rsid w:val="00EE00F2"/>
    <w:rsid w:val="00EE1819"/>
    <w:rsid w:val="00EE1906"/>
    <w:rsid w:val="00EE24D8"/>
    <w:rsid w:val="00EE25C1"/>
    <w:rsid w:val="00EE2E10"/>
    <w:rsid w:val="00EE3094"/>
    <w:rsid w:val="00EE331A"/>
    <w:rsid w:val="00EE39D7"/>
    <w:rsid w:val="00EE3B49"/>
    <w:rsid w:val="00EE4E3A"/>
    <w:rsid w:val="00EE4E6F"/>
    <w:rsid w:val="00EE51CB"/>
    <w:rsid w:val="00EE5288"/>
    <w:rsid w:val="00EE52DB"/>
    <w:rsid w:val="00EE5ADC"/>
    <w:rsid w:val="00EE786A"/>
    <w:rsid w:val="00EE7AF0"/>
    <w:rsid w:val="00EF07A3"/>
    <w:rsid w:val="00EF0A39"/>
    <w:rsid w:val="00EF0C07"/>
    <w:rsid w:val="00EF0C36"/>
    <w:rsid w:val="00EF0C6C"/>
    <w:rsid w:val="00EF11F7"/>
    <w:rsid w:val="00EF1410"/>
    <w:rsid w:val="00EF15A2"/>
    <w:rsid w:val="00EF17CA"/>
    <w:rsid w:val="00EF1814"/>
    <w:rsid w:val="00EF2434"/>
    <w:rsid w:val="00EF2662"/>
    <w:rsid w:val="00EF2925"/>
    <w:rsid w:val="00EF3055"/>
    <w:rsid w:val="00EF30A8"/>
    <w:rsid w:val="00EF33E5"/>
    <w:rsid w:val="00EF4274"/>
    <w:rsid w:val="00EF4282"/>
    <w:rsid w:val="00EF4B11"/>
    <w:rsid w:val="00EF4D49"/>
    <w:rsid w:val="00EF5344"/>
    <w:rsid w:val="00EF5D3E"/>
    <w:rsid w:val="00EF6475"/>
    <w:rsid w:val="00EF74F5"/>
    <w:rsid w:val="00EF75C0"/>
    <w:rsid w:val="00EF7AAA"/>
    <w:rsid w:val="00EF7ACA"/>
    <w:rsid w:val="00EF7F17"/>
    <w:rsid w:val="00F0141B"/>
    <w:rsid w:val="00F01581"/>
    <w:rsid w:val="00F0169A"/>
    <w:rsid w:val="00F01B1F"/>
    <w:rsid w:val="00F02B94"/>
    <w:rsid w:val="00F0300B"/>
    <w:rsid w:val="00F034F5"/>
    <w:rsid w:val="00F04A59"/>
    <w:rsid w:val="00F04DD1"/>
    <w:rsid w:val="00F062FC"/>
    <w:rsid w:val="00F063F5"/>
    <w:rsid w:val="00F0693D"/>
    <w:rsid w:val="00F06C35"/>
    <w:rsid w:val="00F0761C"/>
    <w:rsid w:val="00F07978"/>
    <w:rsid w:val="00F1098A"/>
    <w:rsid w:val="00F10DFB"/>
    <w:rsid w:val="00F10F08"/>
    <w:rsid w:val="00F10FEC"/>
    <w:rsid w:val="00F110AE"/>
    <w:rsid w:val="00F111E3"/>
    <w:rsid w:val="00F113A7"/>
    <w:rsid w:val="00F11492"/>
    <w:rsid w:val="00F1164A"/>
    <w:rsid w:val="00F121FE"/>
    <w:rsid w:val="00F122CF"/>
    <w:rsid w:val="00F12609"/>
    <w:rsid w:val="00F1266A"/>
    <w:rsid w:val="00F1272D"/>
    <w:rsid w:val="00F1285D"/>
    <w:rsid w:val="00F1287E"/>
    <w:rsid w:val="00F12883"/>
    <w:rsid w:val="00F13818"/>
    <w:rsid w:val="00F13819"/>
    <w:rsid w:val="00F13A35"/>
    <w:rsid w:val="00F13BBB"/>
    <w:rsid w:val="00F14382"/>
    <w:rsid w:val="00F14E90"/>
    <w:rsid w:val="00F156B1"/>
    <w:rsid w:val="00F15A45"/>
    <w:rsid w:val="00F165FD"/>
    <w:rsid w:val="00F17C8C"/>
    <w:rsid w:val="00F20000"/>
    <w:rsid w:val="00F20019"/>
    <w:rsid w:val="00F2016C"/>
    <w:rsid w:val="00F2026F"/>
    <w:rsid w:val="00F20AC1"/>
    <w:rsid w:val="00F21603"/>
    <w:rsid w:val="00F21B2B"/>
    <w:rsid w:val="00F22696"/>
    <w:rsid w:val="00F22D99"/>
    <w:rsid w:val="00F237F5"/>
    <w:rsid w:val="00F23C7A"/>
    <w:rsid w:val="00F23F24"/>
    <w:rsid w:val="00F24040"/>
    <w:rsid w:val="00F2408A"/>
    <w:rsid w:val="00F24120"/>
    <w:rsid w:val="00F246E3"/>
    <w:rsid w:val="00F24895"/>
    <w:rsid w:val="00F249AF"/>
    <w:rsid w:val="00F24AE8"/>
    <w:rsid w:val="00F24EBD"/>
    <w:rsid w:val="00F25199"/>
    <w:rsid w:val="00F25D44"/>
    <w:rsid w:val="00F25DF6"/>
    <w:rsid w:val="00F2613C"/>
    <w:rsid w:val="00F263BF"/>
    <w:rsid w:val="00F26577"/>
    <w:rsid w:val="00F2691D"/>
    <w:rsid w:val="00F2694E"/>
    <w:rsid w:val="00F26C42"/>
    <w:rsid w:val="00F26E30"/>
    <w:rsid w:val="00F300C5"/>
    <w:rsid w:val="00F302A3"/>
    <w:rsid w:val="00F307FA"/>
    <w:rsid w:val="00F3080D"/>
    <w:rsid w:val="00F31B0E"/>
    <w:rsid w:val="00F31F05"/>
    <w:rsid w:val="00F3257B"/>
    <w:rsid w:val="00F327A5"/>
    <w:rsid w:val="00F331C3"/>
    <w:rsid w:val="00F343ED"/>
    <w:rsid w:val="00F344D1"/>
    <w:rsid w:val="00F34612"/>
    <w:rsid w:val="00F34795"/>
    <w:rsid w:val="00F34A6D"/>
    <w:rsid w:val="00F34AB7"/>
    <w:rsid w:val="00F351CA"/>
    <w:rsid w:val="00F354A6"/>
    <w:rsid w:val="00F35737"/>
    <w:rsid w:val="00F36181"/>
    <w:rsid w:val="00F3740C"/>
    <w:rsid w:val="00F40497"/>
    <w:rsid w:val="00F40B50"/>
    <w:rsid w:val="00F40CA5"/>
    <w:rsid w:val="00F40EC7"/>
    <w:rsid w:val="00F41100"/>
    <w:rsid w:val="00F41256"/>
    <w:rsid w:val="00F4180A"/>
    <w:rsid w:val="00F41F0F"/>
    <w:rsid w:val="00F42323"/>
    <w:rsid w:val="00F42335"/>
    <w:rsid w:val="00F423AE"/>
    <w:rsid w:val="00F42B66"/>
    <w:rsid w:val="00F43436"/>
    <w:rsid w:val="00F4370F"/>
    <w:rsid w:val="00F4422C"/>
    <w:rsid w:val="00F44549"/>
    <w:rsid w:val="00F449B5"/>
    <w:rsid w:val="00F44A0B"/>
    <w:rsid w:val="00F44BC7"/>
    <w:rsid w:val="00F44D77"/>
    <w:rsid w:val="00F4520D"/>
    <w:rsid w:val="00F454B9"/>
    <w:rsid w:val="00F45532"/>
    <w:rsid w:val="00F45571"/>
    <w:rsid w:val="00F456B1"/>
    <w:rsid w:val="00F456EB"/>
    <w:rsid w:val="00F45F3F"/>
    <w:rsid w:val="00F46523"/>
    <w:rsid w:val="00F46CB9"/>
    <w:rsid w:val="00F46DF5"/>
    <w:rsid w:val="00F477D6"/>
    <w:rsid w:val="00F47E17"/>
    <w:rsid w:val="00F50222"/>
    <w:rsid w:val="00F50241"/>
    <w:rsid w:val="00F50914"/>
    <w:rsid w:val="00F50C59"/>
    <w:rsid w:val="00F50ECD"/>
    <w:rsid w:val="00F51215"/>
    <w:rsid w:val="00F51D53"/>
    <w:rsid w:val="00F5208F"/>
    <w:rsid w:val="00F532FD"/>
    <w:rsid w:val="00F53621"/>
    <w:rsid w:val="00F53763"/>
    <w:rsid w:val="00F53D1A"/>
    <w:rsid w:val="00F53D8A"/>
    <w:rsid w:val="00F54062"/>
    <w:rsid w:val="00F5432C"/>
    <w:rsid w:val="00F549A5"/>
    <w:rsid w:val="00F54CE9"/>
    <w:rsid w:val="00F553F6"/>
    <w:rsid w:val="00F5632A"/>
    <w:rsid w:val="00F56A03"/>
    <w:rsid w:val="00F576AF"/>
    <w:rsid w:val="00F57839"/>
    <w:rsid w:val="00F603EF"/>
    <w:rsid w:val="00F603F4"/>
    <w:rsid w:val="00F604F1"/>
    <w:rsid w:val="00F61975"/>
    <w:rsid w:val="00F61D4A"/>
    <w:rsid w:val="00F629C7"/>
    <w:rsid w:val="00F62F3E"/>
    <w:rsid w:val="00F63C31"/>
    <w:rsid w:val="00F642F0"/>
    <w:rsid w:val="00F64397"/>
    <w:rsid w:val="00F649A7"/>
    <w:rsid w:val="00F64FF7"/>
    <w:rsid w:val="00F6591A"/>
    <w:rsid w:val="00F65F5D"/>
    <w:rsid w:val="00F66123"/>
    <w:rsid w:val="00F663F7"/>
    <w:rsid w:val="00F6753D"/>
    <w:rsid w:val="00F679FB"/>
    <w:rsid w:val="00F709F1"/>
    <w:rsid w:val="00F71D14"/>
    <w:rsid w:val="00F71E55"/>
    <w:rsid w:val="00F71F16"/>
    <w:rsid w:val="00F7218D"/>
    <w:rsid w:val="00F74020"/>
    <w:rsid w:val="00F74DF9"/>
    <w:rsid w:val="00F74E0B"/>
    <w:rsid w:val="00F7581F"/>
    <w:rsid w:val="00F7636F"/>
    <w:rsid w:val="00F7658A"/>
    <w:rsid w:val="00F7663C"/>
    <w:rsid w:val="00F766DB"/>
    <w:rsid w:val="00F76AAF"/>
    <w:rsid w:val="00F76C6A"/>
    <w:rsid w:val="00F773F8"/>
    <w:rsid w:val="00F80289"/>
    <w:rsid w:val="00F803E2"/>
    <w:rsid w:val="00F806A4"/>
    <w:rsid w:val="00F816C4"/>
    <w:rsid w:val="00F82020"/>
    <w:rsid w:val="00F82056"/>
    <w:rsid w:val="00F82349"/>
    <w:rsid w:val="00F829BF"/>
    <w:rsid w:val="00F82A6A"/>
    <w:rsid w:val="00F82C95"/>
    <w:rsid w:val="00F830C6"/>
    <w:rsid w:val="00F839AB"/>
    <w:rsid w:val="00F83BEB"/>
    <w:rsid w:val="00F83C7C"/>
    <w:rsid w:val="00F847BC"/>
    <w:rsid w:val="00F84AF1"/>
    <w:rsid w:val="00F84B55"/>
    <w:rsid w:val="00F8512B"/>
    <w:rsid w:val="00F8550E"/>
    <w:rsid w:val="00F86A3A"/>
    <w:rsid w:val="00F86A4A"/>
    <w:rsid w:val="00F87040"/>
    <w:rsid w:val="00F877F0"/>
    <w:rsid w:val="00F87CC5"/>
    <w:rsid w:val="00F87ECC"/>
    <w:rsid w:val="00F87F01"/>
    <w:rsid w:val="00F900B1"/>
    <w:rsid w:val="00F907E8"/>
    <w:rsid w:val="00F90E42"/>
    <w:rsid w:val="00F914B8"/>
    <w:rsid w:val="00F91C5E"/>
    <w:rsid w:val="00F91DF4"/>
    <w:rsid w:val="00F9231B"/>
    <w:rsid w:val="00F924A9"/>
    <w:rsid w:val="00F92718"/>
    <w:rsid w:val="00F936F5"/>
    <w:rsid w:val="00F938A2"/>
    <w:rsid w:val="00F938EC"/>
    <w:rsid w:val="00F939B5"/>
    <w:rsid w:val="00F93E5B"/>
    <w:rsid w:val="00F94370"/>
    <w:rsid w:val="00F94511"/>
    <w:rsid w:val="00F94C48"/>
    <w:rsid w:val="00F958F8"/>
    <w:rsid w:val="00F95D5D"/>
    <w:rsid w:val="00F95FCE"/>
    <w:rsid w:val="00F96744"/>
    <w:rsid w:val="00F969AA"/>
    <w:rsid w:val="00F96C4A"/>
    <w:rsid w:val="00F96EE5"/>
    <w:rsid w:val="00F96EF6"/>
    <w:rsid w:val="00F970CB"/>
    <w:rsid w:val="00F970EA"/>
    <w:rsid w:val="00F9796B"/>
    <w:rsid w:val="00FA048D"/>
    <w:rsid w:val="00FA0623"/>
    <w:rsid w:val="00FA0E3E"/>
    <w:rsid w:val="00FA14D2"/>
    <w:rsid w:val="00FA1842"/>
    <w:rsid w:val="00FA1B60"/>
    <w:rsid w:val="00FA1E3E"/>
    <w:rsid w:val="00FA214A"/>
    <w:rsid w:val="00FA2E56"/>
    <w:rsid w:val="00FA30C3"/>
    <w:rsid w:val="00FA44F7"/>
    <w:rsid w:val="00FA46B1"/>
    <w:rsid w:val="00FA4D53"/>
    <w:rsid w:val="00FA5323"/>
    <w:rsid w:val="00FA5DFC"/>
    <w:rsid w:val="00FA6340"/>
    <w:rsid w:val="00FA63C7"/>
    <w:rsid w:val="00FA6869"/>
    <w:rsid w:val="00FA7140"/>
    <w:rsid w:val="00FA7AF9"/>
    <w:rsid w:val="00FB0406"/>
    <w:rsid w:val="00FB05F0"/>
    <w:rsid w:val="00FB148F"/>
    <w:rsid w:val="00FB167D"/>
    <w:rsid w:val="00FB177B"/>
    <w:rsid w:val="00FB2613"/>
    <w:rsid w:val="00FB287A"/>
    <w:rsid w:val="00FB3492"/>
    <w:rsid w:val="00FB3751"/>
    <w:rsid w:val="00FB37AD"/>
    <w:rsid w:val="00FB388D"/>
    <w:rsid w:val="00FB3C6E"/>
    <w:rsid w:val="00FB3EDD"/>
    <w:rsid w:val="00FB465D"/>
    <w:rsid w:val="00FB4C8C"/>
    <w:rsid w:val="00FB4EEC"/>
    <w:rsid w:val="00FB5085"/>
    <w:rsid w:val="00FB513F"/>
    <w:rsid w:val="00FB5257"/>
    <w:rsid w:val="00FB57C4"/>
    <w:rsid w:val="00FB5D9B"/>
    <w:rsid w:val="00FB5E9E"/>
    <w:rsid w:val="00FB5F29"/>
    <w:rsid w:val="00FB5FE5"/>
    <w:rsid w:val="00FB6177"/>
    <w:rsid w:val="00FB64AB"/>
    <w:rsid w:val="00FB74E2"/>
    <w:rsid w:val="00FB7C0A"/>
    <w:rsid w:val="00FC0341"/>
    <w:rsid w:val="00FC14C0"/>
    <w:rsid w:val="00FC2064"/>
    <w:rsid w:val="00FC3123"/>
    <w:rsid w:val="00FC32F0"/>
    <w:rsid w:val="00FC38F1"/>
    <w:rsid w:val="00FC4267"/>
    <w:rsid w:val="00FC543A"/>
    <w:rsid w:val="00FC56E0"/>
    <w:rsid w:val="00FC638A"/>
    <w:rsid w:val="00FC67B0"/>
    <w:rsid w:val="00FC6FC7"/>
    <w:rsid w:val="00FC7525"/>
    <w:rsid w:val="00FC7C52"/>
    <w:rsid w:val="00FD12FB"/>
    <w:rsid w:val="00FD14F2"/>
    <w:rsid w:val="00FD19B4"/>
    <w:rsid w:val="00FD1E9D"/>
    <w:rsid w:val="00FD2122"/>
    <w:rsid w:val="00FD25EC"/>
    <w:rsid w:val="00FD2F71"/>
    <w:rsid w:val="00FD353D"/>
    <w:rsid w:val="00FD39D8"/>
    <w:rsid w:val="00FD3E2C"/>
    <w:rsid w:val="00FD4674"/>
    <w:rsid w:val="00FD4A44"/>
    <w:rsid w:val="00FD4EA8"/>
    <w:rsid w:val="00FD5047"/>
    <w:rsid w:val="00FD5449"/>
    <w:rsid w:val="00FD56F5"/>
    <w:rsid w:val="00FE01B3"/>
    <w:rsid w:val="00FE037D"/>
    <w:rsid w:val="00FE0395"/>
    <w:rsid w:val="00FE064B"/>
    <w:rsid w:val="00FE07FC"/>
    <w:rsid w:val="00FE08AD"/>
    <w:rsid w:val="00FE0AE9"/>
    <w:rsid w:val="00FE18D0"/>
    <w:rsid w:val="00FE1A1B"/>
    <w:rsid w:val="00FE2360"/>
    <w:rsid w:val="00FE2AAC"/>
    <w:rsid w:val="00FE2D25"/>
    <w:rsid w:val="00FE3260"/>
    <w:rsid w:val="00FE32DB"/>
    <w:rsid w:val="00FE38D4"/>
    <w:rsid w:val="00FE4514"/>
    <w:rsid w:val="00FE4BC8"/>
    <w:rsid w:val="00FE55F7"/>
    <w:rsid w:val="00FE5DEB"/>
    <w:rsid w:val="00FE6491"/>
    <w:rsid w:val="00FE6A0D"/>
    <w:rsid w:val="00FE71AC"/>
    <w:rsid w:val="00FE75BF"/>
    <w:rsid w:val="00FF022C"/>
    <w:rsid w:val="00FF03ED"/>
    <w:rsid w:val="00FF0AAC"/>
    <w:rsid w:val="00FF11B1"/>
    <w:rsid w:val="00FF26A9"/>
    <w:rsid w:val="00FF2A22"/>
    <w:rsid w:val="00FF2A6B"/>
    <w:rsid w:val="00FF2F59"/>
    <w:rsid w:val="00FF357E"/>
    <w:rsid w:val="00FF3A75"/>
    <w:rsid w:val="00FF3DFD"/>
    <w:rsid w:val="00FF3E3F"/>
    <w:rsid w:val="00FF49D8"/>
    <w:rsid w:val="00FF4C80"/>
    <w:rsid w:val="00FF4E27"/>
    <w:rsid w:val="00FF5728"/>
    <w:rsid w:val="00FF5A0D"/>
    <w:rsid w:val="00FF5B6F"/>
    <w:rsid w:val="00FF5C59"/>
    <w:rsid w:val="00FF6306"/>
    <w:rsid w:val="00FF6A0B"/>
    <w:rsid w:val="00FF6DD8"/>
    <w:rsid w:val="00FF70B0"/>
    <w:rsid w:val="00FF7B76"/>
    <w:rsid w:val="00FF7D78"/>
    <w:rsid w:val="00FF7E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3A1B8AD4-D67E-4750-9D93-E49F338CF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4B9"/>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uiPriority w:val="99"/>
    <w:qFormat/>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uiPriority w:val="99"/>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Footnotes refss,Style 10,referencia nota al pie,BVI fnr,Footnote text,4_Footnote text,callout,Fago Fußnotenzeichen,16 Point,Superscript 6 Point,Footnote,Footnote symbol,Texto de nota al pie,f"/>
    <w:uiPriority w:val="99"/>
    <w:qFormat/>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 w:type="paragraph" w:styleId="ListParagraph">
    <w:name w:val="List Paragraph"/>
    <w:basedOn w:val="Normal"/>
    <w:uiPriority w:val="34"/>
    <w:rsid w:val="002A24C4"/>
    <w:pPr>
      <w:ind w:left="720"/>
      <w:contextualSpacing/>
    </w:pPr>
  </w:style>
  <w:style w:type="character" w:customStyle="1" w:styleId="SingleTxtGChar">
    <w:name w:val="_ Single Txt_G Char"/>
    <w:link w:val="SingleTxtG"/>
    <w:locked/>
    <w:rsid w:val="00ED781B"/>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92600C"/>
    <w:rPr>
      <w:sz w:val="16"/>
      <w:szCs w:val="16"/>
    </w:rPr>
  </w:style>
  <w:style w:type="paragraph" w:styleId="CommentText">
    <w:name w:val="annotation text"/>
    <w:basedOn w:val="Normal"/>
    <w:link w:val="CommentTextChar"/>
    <w:uiPriority w:val="99"/>
    <w:semiHidden/>
    <w:unhideWhenUsed/>
    <w:rsid w:val="0092600C"/>
    <w:pPr>
      <w:spacing w:line="240" w:lineRule="auto"/>
    </w:pPr>
  </w:style>
  <w:style w:type="character" w:customStyle="1" w:styleId="CommentTextChar">
    <w:name w:val="Comment Text Char"/>
    <w:basedOn w:val="DefaultParagraphFont"/>
    <w:link w:val="CommentText"/>
    <w:uiPriority w:val="99"/>
    <w:semiHidden/>
    <w:rsid w:val="0092600C"/>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2600C"/>
    <w:rPr>
      <w:b/>
      <w:bCs/>
    </w:rPr>
  </w:style>
  <w:style w:type="character" w:customStyle="1" w:styleId="CommentSubjectChar">
    <w:name w:val="Comment Subject Char"/>
    <w:basedOn w:val="CommentTextChar"/>
    <w:link w:val="CommentSubject"/>
    <w:uiPriority w:val="99"/>
    <w:semiHidden/>
    <w:rsid w:val="0092600C"/>
    <w:rPr>
      <w:rFonts w:ascii="Times New Roman" w:eastAsia="Times New Roman" w:hAnsi="Times New Roman" w:cs="Times New Roman"/>
      <w:b/>
      <w:bCs/>
      <w:sz w:val="20"/>
      <w:szCs w:val="20"/>
      <w:lang w:eastAsia="en-US"/>
    </w:rPr>
  </w:style>
  <w:style w:type="paragraph" w:styleId="Revision">
    <w:name w:val="Revision"/>
    <w:hidden/>
    <w:uiPriority w:val="99"/>
    <w:semiHidden/>
    <w:rsid w:val="0051364F"/>
    <w:pPr>
      <w:spacing w:after="0"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5C24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336154719">
      <w:bodyDiv w:val="1"/>
      <w:marLeft w:val="0"/>
      <w:marRight w:val="0"/>
      <w:marTop w:val="0"/>
      <w:marBottom w:val="0"/>
      <w:divBdr>
        <w:top w:val="none" w:sz="0" w:space="0" w:color="auto"/>
        <w:left w:val="none" w:sz="0" w:space="0" w:color="auto"/>
        <w:bottom w:val="none" w:sz="0" w:space="0" w:color="auto"/>
        <w:right w:val="none" w:sz="0" w:space="0" w:color="auto"/>
      </w:divBdr>
      <w:divsChild>
        <w:div w:id="542254271">
          <w:marLeft w:val="0"/>
          <w:marRight w:val="0"/>
          <w:marTop w:val="0"/>
          <w:marBottom w:val="0"/>
          <w:divBdr>
            <w:top w:val="none" w:sz="0" w:space="0" w:color="auto"/>
            <w:left w:val="none" w:sz="0" w:space="0" w:color="auto"/>
            <w:bottom w:val="none" w:sz="0" w:space="0" w:color="auto"/>
            <w:right w:val="none" w:sz="0" w:space="0" w:color="auto"/>
          </w:divBdr>
        </w:div>
        <w:div w:id="1126584714">
          <w:marLeft w:val="0"/>
          <w:marRight w:val="0"/>
          <w:marTop w:val="0"/>
          <w:marBottom w:val="0"/>
          <w:divBdr>
            <w:top w:val="none" w:sz="0" w:space="0" w:color="auto"/>
            <w:left w:val="none" w:sz="0" w:space="0" w:color="auto"/>
            <w:bottom w:val="none" w:sz="0" w:space="0" w:color="auto"/>
            <w:right w:val="none" w:sz="0" w:space="0" w:color="auto"/>
          </w:divBdr>
        </w:div>
        <w:div w:id="1107851873">
          <w:marLeft w:val="0"/>
          <w:marRight w:val="0"/>
          <w:marTop w:val="0"/>
          <w:marBottom w:val="0"/>
          <w:divBdr>
            <w:top w:val="none" w:sz="0" w:space="0" w:color="auto"/>
            <w:left w:val="none" w:sz="0" w:space="0" w:color="auto"/>
            <w:bottom w:val="none" w:sz="0" w:space="0" w:color="auto"/>
            <w:right w:val="none" w:sz="0" w:space="0" w:color="auto"/>
          </w:divBdr>
        </w:div>
      </w:divsChild>
    </w:div>
    <w:div w:id="405300909">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0269335">
      <w:bodyDiv w:val="1"/>
      <w:marLeft w:val="0"/>
      <w:marRight w:val="0"/>
      <w:marTop w:val="0"/>
      <w:marBottom w:val="0"/>
      <w:divBdr>
        <w:top w:val="none" w:sz="0" w:space="0" w:color="auto"/>
        <w:left w:val="none" w:sz="0" w:space="0" w:color="auto"/>
        <w:bottom w:val="none" w:sz="0" w:space="0" w:color="auto"/>
        <w:right w:val="none" w:sz="0" w:space="0" w:color="auto"/>
      </w:divBdr>
      <w:divsChild>
        <w:div w:id="17052443">
          <w:marLeft w:val="0"/>
          <w:marRight w:val="0"/>
          <w:marTop w:val="0"/>
          <w:marBottom w:val="0"/>
          <w:divBdr>
            <w:top w:val="none" w:sz="0" w:space="0" w:color="auto"/>
            <w:left w:val="none" w:sz="0" w:space="0" w:color="auto"/>
            <w:bottom w:val="none" w:sz="0" w:space="0" w:color="auto"/>
            <w:right w:val="none" w:sz="0" w:space="0" w:color="auto"/>
          </w:divBdr>
          <w:divsChild>
            <w:div w:id="887033056">
              <w:marLeft w:val="0"/>
              <w:marRight w:val="0"/>
              <w:marTop w:val="0"/>
              <w:marBottom w:val="0"/>
              <w:divBdr>
                <w:top w:val="none" w:sz="0" w:space="0" w:color="auto"/>
                <w:left w:val="none" w:sz="0" w:space="0" w:color="auto"/>
                <w:bottom w:val="none" w:sz="0" w:space="0" w:color="auto"/>
                <w:right w:val="none" w:sz="0" w:space="0" w:color="auto"/>
              </w:divBdr>
              <w:divsChild>
                <w:div w:id="1225487333">
                  <w:marLeft w:val="0"/>
                  <w:marRight w:val="0"/>
                  <w:marTop w:val="0"/>
                  <w:marBottom w:val="0"/>
                  <w:divBdr>
                    <w:top w:val="none" w:sz="0" w:space="0" w:color="auto"/>
                    <w:left w:val="none" w:sz="0" w:space="0" w:color="auto"/>
                    <w:bottom w:val="none" w:sz="0" w:space="0" w:color="auto"/>
                    <w:right w:val="none" w:sz="0" w:space="0" w:color="auto"/>
                  </w:divBdr>
                  <w:divsChild>
                    <w:div w:id="644352846">
                      <w:marLeft w:val="0"/>
                      <w:marRight w:val="0"/>
                      <w:marTop w:val="0"/>
                      <w:marBottom w:val="0"/>
                      <w:divBdr>
                        <w:top w:val="none" w:sz="0" w:space="0" w:color="auto"/>
                        <w:left w:val="none" w:sz="0" w:space="0" w:color="auto"/>
                        <w:bottom w:val="none" w:sz="0" w:space="0" w:color="auto"/>
                        <w:right w:val="none" w:sz="0" w:space="0" w:color="auto"/>
                      </w:divBdr>
                      <w:divsChild>
                        <w:div w:id="2078433388">
                          <w:marLeft w:val="0"/>
                          <w:marRight w:val="0"/>
                          <w:marTop w:val="0"/>
                          <w:marBottom w:val="0"/>
                          <w:divBdr>
                            <w:top w:val="none" w:sz="0" w:space="0" w:color="auto"/>
                            <w:left w:val="none" w:sz="0" w:space="0" w:color="auto"/>
                            <w:bottom w:val="none" w:sz="0" w:space="0" w:color="auto"/>
                            <w:right w:val="none" w:sz="0" w:space="0" w:color="auto"/>
                          </w:divBdr>
                          <w:divsChild>
                            <w:div w:id="840657173">
                              <w:marLeft w:val="0"/>
                              <w:marRight w:val="0"/>
                              <w:marTop w:val="0"/>
                              <w:marBottom w:val="0"/>
                              <w:divBdr>
                                <w:top w:val="none" w:sz="0" w:space="0" w:color="auto"/>
                                <w:left w:val="none" w:sz="0" w:space="0" w:color="auto"/>
                                <w:bottom w:val="none" w:sz="0" w:space="0" w:color="auto"/>
                                <w:right w:val="none" w:sz="0" w:space="0" w:color="auto"/>
                              </w:divBdr>
                              <w:divsChild>
                                <w:div w:id="1109204969">
                                  <w:marLeft w:val="0"/>
                                  <w:marRight w:val="0"/>
                                  <w:marTop w:val="0"/>
                                  <w:marBottom w:val="0"/>
                                  <w:divBdr>
                                    <w:top w:val="none" w:sz="0" w:space="0" w:color="auto"/>
                                    <w:left w:val="none" w:sz="0" w:space="0" w:color="auto"/>
                                    <w:bottom w:val="none" w:sz="0" w:space="0" w:color="auto"/>
                                    <w:right w:val="none" w:sz="0" w:space="0" w:color="auto"/>
                                  </w:divBdr>
                                  <w:divsChild>
                                    <w:div w:id="881937728">
                                      <w:marLeft w:val="0"/>
                                      <w:marRight w:val="0"/>
                                      <w:marTop w:val="0"/>
                                      <w:marBottom w:val="0"/>
                                      <w:divBdr>
                                        <w:top w:val="none" w:sz="0" w:space="0" w:color="auto"/>
                                        <w:left w:val="none" w:sz="0" w:space="0" w:color="auto"/>
                                        <w:bottom w:val="none" w:sz="0" w:space="0" w:color="auto"/>
                                        <w:right w:val="none" w:sz="0" w:space="0" w:color="auto"/>
                                      </w:divBdr>
                                      <w:divsChild>
                                        <w:div w:id="1086221995">
                                          <w:marLeft w:val="0"/>
                                          <w:marRight w:val="0"/>
                                          <w:marTop w:val="0"/>
                                          <w:marBottom w:val="495"/>
                                          <w:divBdr>
                                            <w:top w:val="none" w:sz="0" w:space="0" w:color="auto"/>
                                            <w:left w:val="none" w:sz="0" w:space="0" w:color="auto"/>
                                            <w:bottom w:val="none" w:sz="0" w:space="0" w:color="auto"/>
                                            <w:right w:val="none" w:sz="0" w:space="0" w:color="auto"/>
                                          </w:divBdr>
                                          <w:divsChild>
                                            <w:div w:id="18437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966474979">
      <w:bodyDiv w:val="1"/>
      <w:marLeft w:val="0"/>
      <w:marRight w:val="0"/>
      <w:marTop w:val="0"/>
      <w:marBottom w:val="0"/>
      <w:divBdr>
        <w:top w:val="none" w:sz="0" w:space="0" w:color="auto"/>
        <w:left w:val="none" w:sz="0" w:space="0" w:color="auto"/>
        <w:bottom w:val="none" w:sz="0" w:space="0" w:color="auto"/>
        <w:right w:val="none" w:sz="0" w:space="0" w:color="auto"/>
      </w:divBdr>
      <w:divsChild>
        <w:div w:id="130707327">
          <w:marLeft w:val="0"/>
          <w:marRight w:val="0"/>
          <w:marTop w:val="0"/>
          <w:marBottom w:val="0"/>
          <w:divBdr>
            <w:top w:val="none" w:sz="0" w:space="0" w:color="auto"/>
            <w:left w:val="none" w:sz="0" w:space="0" w:color="auto"/>
            <w:bottom w:val="none" w:sz="0" w:space="0" w:color="auto"/>
            <w:right w:val="none" w:sz="0" w:space="0" w:color="auto"/>
          </w:divBdr>
        </w:div>
        <w:div w:id="321398752">
          <w:marLeft w:val="0"/>
          <w:marRight w:val="0"/>
          <w:marTop w:val="0"/>
          <w:marBottom w:val="0"/>
          <w:divBdr>
            <w:top w:val="none" w:sz="0" w:space="0" w:color="auto"/>
            <w:left w:val="none" w:sz="0" w:space="0" w:color="auto"/>
            <w:bottom w:val="none" w:sz="0" w:space="0" w:color="auto"/>
            <w:right w:val="none" w:sz="0" w:space="0" w:color="auto"/>
          </w:divBdr>
        </w:div>
        <w:div w:id="1620406845">
          <w:marLeft w:val="0"/>
          <w:marRight w:val="0"/>
          <w:marTop w:val="0"/>
          <w:marBottom w:val="0"/>
          <w:divBdr>
            <w:top w:val="none" w:sz="0" w:space="0" w:color="auto"/>
            <w:left w:val="none" w:sz="0" w:space="0" w:color="auto"/>
            <w:bottom w:val="none" w:sz="0" w:space="0" w:color="auto"/>
            <w:right w:val="none" w:sz="0" w:space="0" w:color="auto"/>
          </w:divBdr>
        </w:div>
      </w:divsChild>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079447340">
      <w:bodyDiv w:val="1"/>
      <w:marLeft w:val="0"/>
      <w:marRight w:val="0"/>
      <w:marTop w:val="0"/>
      <w:marBottom w:val="0"/>
      <w:divBdr>
        <w:top w:val="none" w:sz="0" w:space="0" w:color="auto"/>
        <w:left w:val="none" w:sz="0" w:space="0" w:color="auto"/>
        <w:bottom w:val="none" w:sz="0" w:space="0" w:color="auto"/>
        <w:right w:val="none" w:sz="0" w:space="0" w:color="auto"/>
      </w:divBdr>
      <w:divsChild>
        <w:div w:id="765733054">
          <w:marLeft w:val="0"/>
          <w:marRight w:val="0"/>
          <w:marTop w:val="0"/>
          <w:marBottom w:val="0"/>
          <w:divBdr>
            <w:top w:val="none" w:sz="0" w:space="0" w:color="auto"/>
            <w:left w:val="none" w:sz="0" w:space="0" w:color="auto"/>
            <w:bottom w:val="none" w:sz="0" w:space="0" w:color="auto"/>
            <w:right w:val="none" w:sz="0" w:space="0" w:color="auto"/>
          </w:divBdr>
        </w:div>
        <w:div w:id="200557971">
          <w:marLeft w:val="0"/>
          <w:marRight w:val="0"/>
          <w:marTop w:val="0"/>
          <w:marBottom w:val="0"/>
          <w:divBdr>
            <w:top w:val="none" w:sz="0" w:space="0" w:color="auto"/>
            <w:left w:val="none" w:sz="0" w:space="0" w:color="auto"/>
            <w:bottom w:val="none" w:sz="0" w:space="0" w:color="auto"/>
            <w:right w:val="none" w:sz="0" w:space="0" w:color="auto"/>
          </w:divBdr>
        </w:div>
      </w:divsChild>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ultimahora.com/comunidad-indigena-afectada-fumigacion-sojales-curuguaty-n1101022.html" TargetMode="External"/><Relationship Id="rId2" Type="http://schemas.openxmlformats.org/officeDocument/2006/relationships/hyperlink" Target="https://www.ultimahora.com/dos-ninas-fallecieron-curuguaty-causa-agrotoxicos-segun-la-fnc-n814364.html" TargetMode="External"/><Relationship Id="rId1" Type="http://schemas.openxmlformats.org/officeDocument/2006/relationships/hyperlink" Target="https://www2.ohchr.org/english/bodies/cescr/docs/info-ngos/DESC-Paragu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DC6E63E0E4C40BB58A92BBDBC479C" ma:contentTypeVersion="0" ma:contentTypeDescription="Create a new document." ma:contentTypeScope="" ma:versionID="f85965e7da94c04701e9b0b0ee7922a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ECEAD-42A9-4837-BE2C-B986CDB3C92B}"/>
</file>

<file path=customXml/itemProps2.xml><?xml version="1.0" encoding="utf-8"?>
<ds:datastoreItem xmlns:ds="http://schemas.openxmlformats.org/officeDocument/2006/customXml" ds:itemID="{6E168F54-51DB-46C3-9FA4-19EEC371B2EF}">
  <ds:schemaRefs>
    <ds:schemaRef ds:uri="http://schemas.microsoft.com/sharepoint/v3/contenttype/forms"/>
  </ds:schemaRefs>
</ds:datastoreItem>
</file>

<file path=customXml/itemProps3.xml><?xml version="1.0" encoding="utf-8"?>
<ds:datastoreItem xmlns:ds="http://schemas.openxmlformats.org/officeDocument/2006/customXml" ds:itemID="{BDF6B080-11B2-4E54-B854-9CEB8A4EFD8B}">
  <ds:schemaRefs>
    <ds:schemaRef ds:uri="http://purl.org/dc/elements/1.1/"/>
    <ds:schemaRef ds:uri="http://schemas.openxmlformats.org/package/2006/metadata/core-properties"/>
    <ds:schemaRef ds:uri="843519ee-602c-4a77-9f98-e0b2d1df032d"/>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4.xml><?xml version="1.0" encoding="utf-8"?>
<ds:datastoreItem xmlns:ds="http://schemas.openxmlformats.org/officeDocument/2006/customXml" ds:itemID="{58E4A133-7F7B-43FF-B6AD-C92229CA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8621</Words>
  <Characters>49141</Characters>
  <Application>Microsoft Office Word</Application>
  <DocSecurity>4</DocSecurity>
  <Lines>409</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CCPR/C/126/DR/2751/2016</vt:lpstr>
      <vt:lpstr>1606987</vt:lpstr>
    </vt:vector>
  </TitlesOfParts>
  <Company>DCM</Company>
  <LinksUpToDate>false</LinksUpToDate>
  <CharactersWithSpaces>57647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CCPR/C/126/DR/2751/2016</dc:title>
  <dc:subject/>
  <dc:creator>Maria Luisa Zeballos Moreno</dc:creator>
  <cp:keywords/>
  <dc:description/>
  <cp:lastModifiedBy>KAWUKI Anne</cp:lastModifiedBy>
  <cp:revision>2</cp:revision>
  <cp:lastPrinted>2019-06-13T08:52:00Z</cp:lastPrinted>
  <dcterms:created xsi:type="dcterms:W3CDTF">2019-08-13T14:31:00Z</dcterms:created>
  <dcterms:modified xsi:type="dcterms:W3CDTF">2019-08-13T14:31:00Z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0x010100D94DC6E63E0E4C40BB58A92BBDBC479C</vt:lpwstr>
  </property>
</Properties>
</file>