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CC8D" w14:textId="77777777" w:rsidR="00636E7B" w:rsidRPr="00636E7B" w:rsidRDefault="00636E7B" w:rsidP="00636E7B">
      <w:pPr>
        <w:spacing w:after="150" w:line="600" w:lineRule="atLeast"/>
        <w:outlineLvl w:val="0"/>
        <w:rPr>
          <w:rFonts w:ascii="Open Sans" w:eastAsia="Times New Roman" w:hAnsi="Open Sans" w:cs="Open Sans"/>
          <w:caps/>
          <w:color w:val="2D2D2D"/>
          <w:kern w:val="36"/>
          <w:sz w:val="49"/>
          <w:szCs w:val="49"/>
          <w:lang w:eastAsia="es-CL"/>
          <w14:ligatures w14:val="none"/>
        </w:rPr>
      </w:pPr>
      <w:r w:rsidRPr="00636E7B">
        <w:rPr>
          <w:rFonts w:ascii="Open Sans" w:eastAsia="Times New Roman" w:hAnsi="Open Sans" w:cs="Open Sans"/>
          <w:caps/>
          <w:color w:val="2D2D2D"/>
          <w:kern w:val="36"/>
          <w:sz w:val="49"/>
          <w:szCs w:val="49"/>
          <w:lang w:eastAsia="es-CL"/>
          <w14:ligatures w14:val="none"/>
        </w:rPr>
        <w:t>DECLARACIÓN DE LA SOCIEDAD CIVIL Y LOS PUEBLOS INDÍGENAS SOBRE EL FIN DE LA ASOCIACIÓN DE LA FAO CON CROPLIFE INTERNATIONAL</w:t>
      </w:r>
    </w:p>
    <w:p w14:paraId="068E0D7A" w14:textId="77777777" w:rsidR="00636E7B" w:rsidRPr="00636E7B" w:rsidRDefault="00636E7B" w:rsidP="00636E7B">
      <w:pPr>
        <w:spacing w:after="0"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noProof/>
          <w:color w:val="008851"/>
          <w:kern w:val="0"/>
          <w:bdr w:val="none" w:sz="0" w:space="0" w:color="auto" w:frame="1"/>
          <w:lang w:eastAsia="es-CL"/>
          <w14:ligatures w14:val="none"/>
        </w:rPr>
        <w:drawing>
          <wp:inline distT="0" distB="0" distL="0" distR="0" wp14:anchorId="3F3E4F6B" wp14:editId="5479A00D">
            <wp:extent cx="7226300" cy="3181350"/>
            <wp:effectExtent l="0" t="0" r="0" b="0"/>
            <wp:docPr id="5" name="Imagen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6300" cy="3181350"/>
                    </a:xfrm>
                    <a:prstGeom prst="rect">
                      <a:avLst/>
                    </a:prstGeom>
                    <a:noFill/>
                    <a:ln>
                      <a:noFill/>
                    </a:ln>
                  </pic:spPr>
                </pic:pic>
              </a:graphicData>
            </a:graphic>
          </wp:inline>
        </w:drawing>
      </w:r>
    </w:p>
    <w:p w14:paraId="12A7A30B" w14:textId="77777777"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 xml:space="preserve">Once organizaciones que representan a la sociedad civil y a los pueblos indígenas de todo el mundo acogen con satisfacción la declaración de la Organización de las Naciones Unidas para la Alimentación y la Agricultura (FAO, como son sus siglas en inglés) de que ha finalizado oficialmente su Carta de Intención (LOI, como son sus siglas en inglés) con el grupo de presión de la industria de plaguicidas </w:t>
      </w:r>
      <w:proofErr w:type="spellStart"/>
      <w:r w:rsidRPr="00636E7B">
        <w:rPr>
          <w:rFonts w:ascii="Open Sans" w:eastAsia="Times New Roman" w:hAnsi="Open Sans" w:cs="Open Sans"/>
          <w:color w:val="3A3A3A"/>
          <w:kern w:val="0"/>
          <w:lang w:eastAsia="es-CL"/>
          <w14:ligatures w14:val="none"/>
        </w:rPr>
        <w:t>CropLife</w:t>
      </w:r>
      <w:proofErr w:type="spellEnd"/>
      <w:r w:rsidRPr="00636E7B">
        <w:rPr>
          <w:rFonts w:ascii="Open Sans" w:eastAsia="Times New Roman" w:hAnsi="Open Sans" w:cs="Open Sans"/>
          <w:color w:val="3A3A3A"/>
          <w:kern w:val="0"/>
          <w:lang w:eastAsia="es-CL"/>
          <w14:ligatures w14:val="none"/>
        </w:rPr>
        <w:t xml:space="preserve"> International. Creemos que esta es una victoria importante, especialmente para los agricultores, los trabajadores agrícolas y las comunidades rurales que sufren más por los daños de los plaguicidas.</w:t>
      </w:r>
    </w:p>
    <w:p w14:paraId="4426866E" w14:textId="25CAF785"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 xml:space="preserve">El 15 de mayo de 2024, PAN International recibió una confirmación por escrito de la </w:t>
      </w:r>
      <w:proofErr w:type="gramStart"/>
      <w:r w:rsidRPr="00636E7B">
        <w:rPr>
          <w:rFonts w:ascii="Open Sans" w:eastAsia="Times New Roman" w:hAnsi="Open Sans" w:cs="Open Sans"/>
          <w:color w:val="3A3A3A"/>
          <w:kern w:val="0"/>
          <w:lang w:eastAsia="es-CL"/>
          <w14:ligatures w14:val="none"/>
        </w:rPr>
        <w:t>Directora General</w:t>
      </w:r>
      <w:proofErr w:type="gramEnd"/>
      <w:r w:rsidRPr="00636E7B">
        <w:rPr>
          <w:rFonts w:ascii="Open Sans" w:eastAsia="Times New Roman" w:hAnsi="Open Sans" w:cs="Open Sans"/>
          <w:color w:val="3A3A3A"/>
          <w:kern w:val="0"/>
          <w:lang w:eastAsia="es-CL"/>
          <w14:ligatures w14:val="none"/>
        </w:rPr>
        <w:t xml:space="preserve"> Adjunta de la FAO, Beth </w:t>
      </w:r>
      <w:proofErr w:type="spellStart"/>
      <w:r w:rsidRPr="00636E7B">
        <w:rPr>
          <w:rFonts w:ascii="Open Sans" w:eastAsia="Times New Roman" w:hAnsi="Open Sans" w:cs="Open Sans"/>
          <w:color w:val="3A3A3A"/>
          <w:kern w:val="0"/>
          <w:lang w:eastAsia="es-CL"/>
          <w14:ligatures w14:val="none"/>
        </w:rPr>
        <w:t>Bechdol</w:t>
      </w:r>
      <w:proofErr w:type="spellEnd"/>
      <w:r w:rsidRPr="00636E7B">
        <w:rPr>
          <w:rFonts w:ascii="Open Sans" w:eastAsia="Times New Roman" w:hAnsi="Open Sans" w:cs="Open Sans"/>
          <w:color w:val="3A3A3A"/>
          <w:kern w:val="0"/>
          <w:lang w:eastAsia="es-CL"/>
          <w14:ligatures w14:val="none"/>
        </w:rPr>
        <w:t xml:space="preserve">, de que la Carta de Intención (LOI) entre la FAO y </w:t>
      </w:r>
      <w:proofErr w:type="spellStart"/>
      <w:r w:rsidRPr="00636E7B">
        <w:rPr>
          <w:rFonts w:ascii="Open Sans" w:eastAsia="Times New Roman" w:hAnsi="Open Sans" w:cs="Open Sans"/>
          <w:color w:val="3A3A3A"/>
          <w:kern w:val="0"/>
          <w:lang w:eastAsia="es-CL"/>
          <w14:ligatures w14:val="none"/>
        </w:rPr>
        <w:t>CropLife</w:t>
      </w:r>
      <w:proofErr w:type="spellEnd"/>
      <w:r w:rsidRPr="00636E7B">
        <w:rPr>
          <w:rFonts w:ascii="Open Sans" w:eastAsia="Times New Roman" w:hAnsi="Open Sans" w:cs="Open Sans"/>
          <w:color w:val="3A3A3A"/>
          <w:kern w:val="0"/>
          <w:lang w:eastAsia="es-CL"/>
          <w14:ligatures w14:val="none"/>
        </w:rPr>
        <w:t xml:space="preserve"> International firmada el 2 de octubre de 2020 llegó a su fin casi exactamente tres años después de su acuerdo. Se nos ha informado que la FAO concluyó su Carta de Intención con </w:t>
      </w:r>
      <w:proofErr w:type="spellStart"/>
      <w:r w:rsidRPr="00636E7B">
        <w:rPr>
          <w:rFonts w:ascii="Open Sans" w:eastAsia="Times New Roman" w:hAnsi="Open Sans" w:cs="Open Sans"/>
          <w:color w:val="3A3A3A"/>
          <w:kern w:val="0"/>
          <w:lang w:eastAsia="es-CL"/>
          <w14:ligatures w14:val="none"/>
        </w:rPr>
        <w:t>CropLife</w:t>
      </w:r>
      <w:proofErr w:type="spellEnd"/>
      <w:r w:rsidRPr="00636E7B">
        <w:rPr>
          <w:rFonts w:ascii="Open Sans" w:eastAsia="Times New Roman" w:hAnsi="Open Sans" w:cs="Open Sans"/>
          <w:color w:val="3A3A3A"/>
          <w:kern w:val="0"/>
          <w:lang w:eastAsia="es-CL"/>
          <w14:ligatures w14:val="none"/>
        </w:rPr>
        <w:t xml:space="preserve"> el 3 de octubre de 2023 correspondiente con una revisión de todas las </w:t>
      </w:r>
      <w:proofErr w:type="spellStart"/>
      <w:r w:rsidRPr="00636E7B">
        <w:rPr>
          <w:rFonts w:ascii="Open Sans" w:eastAsia="Times New Roman" w:hAnsi="Open Sans" w:cs="Open Sans"/>
          <w:color w:val="3A3A3A"/>
          <w:kern w:val="0"/>
          <w:lang w:eastAsia="es-CL"/>
          <w14:ligatures w14:val="none"/>
        </w:rPr>
        <w:t>LOIs</w:t>
      </w:r>
      <w:proofErr w:type="spellEnd"/>
      <w:r w:rsidRPr="00636E7B">
        <w:rPr>
          <w:rFonts w:ascii="Open Sans" w:eastAsia="Times New Roman" w:hAnsi="Open Sans" w:cs="Open Sans"/>
          <w:color w:val="3A3A3A"/>
          <w:kern w:val="0"/>
          <w:lang w:eastAsia="es-CL"/>
          <w14:ligatures w14:val="none"/>
        </w:rPr>
        <w:t xml:space="preserve"> firmadas antes del desarrollo de la Estrategia de la FAO para la Participación del Sector Privado (2021-25) y el nuevo marco de diligencia debida</w:t>
      </w:r>
      <w:r>
        <w:rPr>
          <w:rFonts w:ascii="Open Sans" w:eastAsia="Times New Roman" w:hAnsi="Open Sans" w:cs="Open Sans"/>
          <w:color w:val="3A3A3A"/>
          <w:kern w:val="0"/>
          <w:lang w:eastAsia="es-CL"/>
          <w14:ligatures w14:val="none"/>
        </w:rPr>
        <w:t>,</w:t>
      </w:r>
      <w:r w:rsidRPr="00636E7B">
        <w:rPr>
          <w:rFonts w:ascii="Open Sans" w:eastAsia="Times New Roman" w:hAnsi="Open Sans" w:cs="Open Sans"/>
          <w:color w:val="3A3A3A"/>
          <w:kern w:val="0"/>
          <w:lang w:eastAsia="es-CL"/>
          <w14:ligatures w14:val="none"/>
        </w:rPr>
        <w:t xml:space="preserve"> relacionado.</w:t>
      </w:r>
    </w:p>
    <w:p w14:paraId="150014F6" w14:textId="77777777" w:rsidR="00636E7B" w:rsidRPr="00636E7B" w:rsidRDefault="00636E7B" w:rsidP="00636E7B">
      <w:pPr>
        <w:spacing w:after="0"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b/>
          <w:bCs/>
          <w:color w:val="3A3A3A"/>
          <w:kern w:val="0"/>
          <w:bdr w:val="none" w:sz="0" w:space="0" w:color="auto" w:frame="1"/>
          <w:lang w:eastAsia="es-CL"/>
          <w14:ligatures w14:val="none"/>
        </w:rPr>
        <w:t>Desde que la firma de la LOI, más de </w:t>
      </w:r>
      <w:r w:rsidRPr="00636E7B">
        <w:rPr>
          <w:rFonts w:ascii="Open Sans" w:eastAsia="Times New Roman" w:hAnsi="Open Sans" w:cs="Open Sans"/>
          <w:b/>
          <w:bCs/>
          <w:color w:val="3A3A3A"/>
          <w:kern w:val="0"/>
          <w:u w:val="single"/>
          <w:bdr w:val="none" w:sz="0" w:space="0" w:color="auto" w:frame="1"/>
          <w:lang w:eastAsia="es-CL"/>
          <w14:ligatures w14:val="none"/>
        </w:rPr>
        <w:t>430 organizaciones de la sociedad civil y de pueblos indígenas</w:t>
      </w:r>
      <w:r w:rsidRPr="00636E7B">
        <w:rPr>
          <w:rFonts w:ascii="Open Sans" w:eastAsia="Times New Roman" w:hAnsi="Open Sans" w:cs="Open Sans"/>
          <w:b/>
          <w:bCs/>
          <w:color w:val="3A3A3A"/>
          <w:kern w:val="0"/>
          <w:bdr w:val="none" w:sz="0" w:space="0" w:color="auto" w:frame="1"/>
          <w:lang w:eastAsia="es-CL"/>
          <w14:ligatures w14:val="none"/>
        </w:rPr>
        <w:t> de casi 70 países, </w:t>
      </w:r>
      <w:r w:rsidRPr="00636E7B">
        <w:rPr>
          <w:rFonts w:ascii="Open Sans" w:eastAsia="Times New Roman" w:hAnsi="Open Sans" w:cs="Open Sans"/>
          <w:b/>
          <w:bCs/>
          <w:color w:val="3A3A3A"/>
          <w:kern w:val="0"/>
          <w:u w:val="single"/>
          <w:bdr w:val="none" w:sz="0" w:space="0" w:color="auto" w:frame="1"/>
          <w:lang w:eastAsia="es-CL"/>
          <w14:ligatures w14:val="none"/>
        </w:rPr>
        <w:t>casi 200,000 personas </w:t>
      </w:r>
      <w:r w:rsidRPr="00636E7B">
        <w:rPr>
          <w:rFonts w:ascii="Open Sans" w:eastAsia="Times New Roman" w:hAnsi="Open Sans" w:cs="Open Sans"/>
          <w:b/>
          <w:bCs/>
          <w:color w:val="3A3A3A"/>
          <w:kern w:val="0"/>
          <w:bdr w:val="none" w:sz="0" w:space="0" w:color="auto" w:frame="1"/>
          <w:lang w:eastAsia="es-CL"/>
          <w14:ligatures w14:val="none"/>
        </w:rPr>
        <w:t>de más de 107 países, 250 </w:t>
      </w:r>
      <w:r w:rsidRPr="00636E7B">
        <w:rPr>
          <w:rFonts w:ascii="Open Sans" w:eastAsia="Times New Roman" w:hAnsi="Open Sans" w:cs="Open Sans"/>
          <w:b/>
          <w:bCs/>
          <w:color w:val="3A3A3A"/>
          <w:kern w:val="0"/>
          <w:u w:val="single"/>
          <w:bdr w:val="none" w:sz="0" w:space="0" w:color="auto" w:frame="1"/>
          <w:lang w:eastAsia="es-CL"/>
          <w14:ligatures w14:val="none"/>
        </w:rPr>
        <w:t>científicos y académicos</w:t>
      </w:r>
      <w:r w:rsidRPr="00636E7B">
        <w:rPr>
          <w:rFonts w:ascii="Open Sans" w:eastAsia="Times New Roman" w:hAnsi="Open Sans" w:cs="Open Sans"/>
          <w:b/>
          <w:bCs/>
          <w:color w:val="3A3A3A"/>
          <w:kern w:val="0"/>
          <w:bdr w:val="none" w:sz="0" w:space="0" w:color="auto" w:frame="1"/>
          <w:lang w:eastAsia="es-CL"/>
          <w14:ligatures w14:val="none"/>
        </w:rPr>
        <w:t>, casi 50 grupos filantrópicos y </w:t>
      </w:r>
      <w:r w:rsidRPr="00636E7B">
        <w:rPr>
          <w:rFonts w:ascii="Open Sans" w:eastAsia="Times New Roman" w:hAnsi="Open Sans" w:cs="Open Sans"/>
          <w:b/>
          <w:bCs/>
          <w:color w:val="3A3A3A"/>
          <w:kern w:val="0"/>
          <w:u w:val="single"/>
          <w:bdr w:val="none" w:sz="0" w:space="0" w:color="auto" w:frame="1"/>
          <w:lang w:eastAsia="es-CL"/>
          <w14:ligatures w14:val="none"/>
        </w:rPr>
        <w:t xml:space="preserve">el Relator Especial de las Naciones Unidas sobre el </w:t>
      </w:r>
      <w:r w:rsidRPr="00636E7B">
        <w:rPr>
          <w:rFonts w:ascii="Open Sans" w:eastAsia="Times New Roman" w:hAnsi="Open Sans" w:cs="Open Sans"/>
          <w:b/>
          <w:bCs/>
          <w:color w:val="3A3A3A"/>
          <w:kern w:val="0"/>
          <w:u w:val="single"/>
          <w:bdr w:val="none" w:sz="0" w:space="0" w:color="auto" w:frame="1"/>
          <w:lang w:eastAsia="es-CL"/>
          <w14:ligatures w14:val="none"/>
        </w:rPr>
        <w:lastRenderedPageBreak/>
        <w:t>Derecho a la Alimentación</w:t>
      </w:r>
      <w:r w:rsidRPr="00636E7B">
        <w:rPr>
          <w:rFonts w:ascii="Open Sans" w:eastAsia="Times New Roman" w:hAnsi="Open Sans" w:cs="Open Sans"/>
          <w:b/>
          <w:bCs/>
          <w:color w:val="3A3A3A"/>
          <w:kern w:val="0"/>
          <w:bdr w:val="none" w:sz="0" w:space="0" w:color="auto" w:frame="1"/>
          <w:lang w:eastAsia="es-CL"/>
          <w14:ligatures w14:val="none"/>
        </w:rPr>
        <w:t xml:space="preserve"> han pedido a la FAO rescindir su acuerdo con </w:t>
      </w:r>
      <w:proofErr w:type="spellStart"/>
      <w:r w:rsidRPr="00636E7B">
        <w:rPr>
          <w:rFonts w:ascii="Open Sans" w:eastAsia="Times New Roman" w:hAnsi="Open Sans" w:cs="Open Sans"/>
          <w:b/>
          <w:bCs/>
          <w:color w:val="3A3A3A"/>
          <w:kern w:val="0"/>
          <w:bdr w:val="none" w:sz="0" w:space="0" w:color="auto" w:frame="1"/>
          <w:lang w:eastAsia="es-CL"/>
          <w14:ligatures w14:val="none"/>
        </w:rPr>
        <w:t>CropLife</w:t>
      </w:r>
      <w:proofErr w:type="spellEnd"/>
      <w:r w:rsidRPr="00636E7B">
        <w:rPr>
          <w:rFonts w:ascii="Open Sans" w:eastAsia="Times New Roman" w:hAnsi="Open Sans" w:cs="Open Sans"/>
          <w:b/>
          <w:bCs/>
          <w:color w:val="3A3A3A"/>
          <w:kern w:val="0"/>
          <w:bdr w:val="none" w:sz="0" w:space="0" w:color="auto" w:frame="1"/>
          <w:lang w:eastAsia="es-CL"/>
          <w14:ligatures w14:val="none"/>
        </w:rPr>
        <w:t xml:space="preserve"> para Stop </w:t>
      </w:r>
      <w:proofErr w:type="spellStart"/>
      <w:r w:rsidRPr="00636E7B">
        <w:rPr>
          <w:rFonts w:ascii="Open Sans" w:eastAsia="Times New Roman" w:hAnsi="Open Sans" w:cs="Open Sans"/>
          <w:b/>
          <w:bCs/>
          <w:color w:val="3A3A3A"/>
          <w:kern w:val="0"/>
          <w:bdr w:val="none" w:sz="0" w:space="0" w:color="auto" w:frame="1"/>
          <w:lang w:eastAsia="es-CL"/>
          <w14:ligatures w14:val="none"/>
        </w:rPr>
        <w:t>the</w:t>
      </w:r>
      <w:proofErr w:type="spellEnd"/>
      <w:r w:rsidRPr="00636E7B">
        <w:rPr>
          <w:rFonts w:ascii="Open Sans" w:eastAsia="Times New Roman" w:hAnsi="Open Sans" w:cs="Open Sans"/>
          <w:b/>
          <w:bCs/>
          <w:color w:val="3A3A3A"/>
          <w:kern w:val="0"/>
          <w:bdr w:val="none" w:sz="0" w:space="0" w:color="auto" w:frame="1"/>
          <w:lang w:eastAsia="es-CL"/>
          <w14:ligatures w14:val="none"/>
        </w:rPr>
        <w:t xml:space="preserve"> #ToxicAlliance (Detener a la #Alianza Tóxica).</w:t>
      </w:r>
    </w:p>
    <w:p w14:paraId="1E4BEAC5" w14:textId="77777777" w:rsidR="00636E7B" w:rsidRDefault="00636E7B" w:rsidP="00636E7B">
      <w:pPr>
        <w:spacing w:after="0" w:line="240" w:lineRule="atLeast"/>
        <w:rPr>
          <w:rFonts w:ascii="Open Sans" w:eastAsia="Times New Roman" w:hAnsi="Open Sans" w:cs="Open Sans"/>
          <w:color w:val="3A3A3A"/>
          <w:kern w:val="0"/>
          <w:lang w:eastAsia="es-CL"/>
          <w14:ligatures w14:val="none"/>
        </w:rPr>
      </w:pPr>
    </w:p>
    <w:p w14:paraId="3F30E387" w14:textId="76866E8C"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Hemos llamado la atención sobre cómo </w:t>
      </w:r>
      <w:r w:rsidRPr="00636E7B">
        <w:rPr>
          <w:rFonts w:ascii="Open Sans" w:eastAsia="Times New Roman" w:hAnsi="Open Sans" w:cs="Open Sans"/>
          <w:color w:val="3A3A3A"/>
          <w:kern w:val="0"/>
          <w:u w:val="single"/>
          <w:lang w:eastAsia="es-CL"/>
          <w14:ligatures w14:val="none"/>
        </w:rPr>
        <w:t>el acuerdo vinculaba directamente a la FAO </w:t>
      </w:r>
      <w:r w:rsidRPr="00636E7B">
        <w:rPr>
          <w:rFonts w:ascii="Open Sans" w:eastAsia="Times New Roman" w:hAnsi="Open Sans" w:cs="Open Sans"/>
          <w:color w:val="3A3A3A"/>
          <w:kern w:val="0"/>
          <w:lang w:eastAsia="es-CL"/>
          <w14:ligatures w14:val="none"/>
        </w:rPr>
        <w:t xml:space="preserve">con los mayores fabricantes del mundo de los plaguicidas más mortíferos, empresas como Bayer, Syngenta y </w:t>
      </w:r>
      <w:proofErr w:type="spellStart"/>
      <w:r w:rsidRPr="00636E7B">
        <w:rPr>
          <w:rFonts w:ascii="Open Sans" w:eastAsia="Times New Roman" w:hAnsi="Open Sans" w:cs="Open Sans"/>
          <w:color w:val="3A3A3A"/>
          <w:kern w:val="0"/>
          <w:lang w:eastAsia="es-CL"/>
          <w14:ligatures w14:val="none"/>
        </w:rPr>
        <w:t>Corteva</w:t>
      </w:r>
      <w:proofErr w:type="spellEnd"/>
      <w:r w:rsidRPr="00636E7B">
        <w:rPr>
          <w:rFonts w:ascii="Open Sans" w:eastAsia="Times New Roman" w:hAnsi="Open Sans" w:cs="Open Sans"/>
          <w:color w:val="3A3A3A"/>
          <w:kern w:val="0"/>
          <w:lang w:eastAsia="es-CL"/>
          <w14:ligatures w14:val="none"/>
        </w:rPr>
        <w:t>. Constantemente planteamos preocupaciones sobre la #ToxicAlliance en comunicaciones públicas y formales a los líderes de la FAO y a los Estados Miembros, en diálogos con funcionarios de la FAO, así como en acciones globales.</w:t>
      </w:r>
    </w:p>
    <w:p w14:paraId="73603509" w14:textId="089D8F49"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 xml:space="preserve">Creemos que dicha vigilancia tuvo un impacto significativo en la forma en que la FAO avanzó con lo que </w:t>
      </w:r>
      <w:proofErr w:type="spellStart"/>
      <w:r w:rsidRPr="00636E7B">
        <w:rPr>
          <w:rFonts w:ascii="Open Sans" w:eastAsia="Times New Roman" w:hAnsi="Open Sans" w:cs="Open Sans"/>
          <w:color w:val="3A3A3A"/>
          <w:kern w:val="0"/>
          <w:lang w:eastAsia="es-CL"/>
          <w14:ligatures w14:val="none"/>
        </w:rPr>
        <w:t>CropLife</w:t>
      </w:r>
      <w:proofErr w:type="spellEnd"/>
      <w:r w:rsidRPr="00636E7B">
        <w:rPr>
          <w:rFonts w:ascii="Open Sans" w:eastAsia="Times New Roman" w:hAnsi="Open Sans" w:cs="Open Sans"/>
          <w:color w:val="3A3A3A"/>
          <w:kern w:val="0"/>
          <w:lang w:eastAsia="es-CL"/>
          <w14:ligatures w14:val="none"/>
        </w:rPr>
        <w:t> </w:t>
      </w:r>
      <w:r w:rsidRPr="00636E7B">
        <w:rPr>
          <w:rFonts w:ascii="Open Sans" w:eastAsia="Times New Roman" w:hAnsi="Open Sans" w:cs="Open Sans"/>
          <w:color w:val="3A3A3A"/>
          <w:kern w:val="0"/>
          <w:u w:val="single"/>
          <w:lang w:eastAsia="es-CL"/>
          <w14:ligatures w14:val="none"/>
        </w:rPr>
        <w:t>afirmó </w:t>
      </w:r>
      <w:r w:rsidRPr="00636E7B">
        <w:rPr>
          <w:rFonts w:ascii="Open Sans" w:eastAsia="Times New Roman" w:hAnsi="Open Sans" w:cs="Open Sans"/>
          <w:color w:val="3A3A3A"/>
          <w:kern w:val="0"/>
          <w:lang w:eastAsia="es-CL"/>
          <w14:ligatures w14:val="none"/>
        </w:rPr>
        <w:t>que era un “acuerdo de asociación estratégica”. En sus comunicaciones con nosotros en el</w:t>
      </w:r>
      <w:r>
        <w:rPr>
          <w:rFonts w:ascii="Open Sans" w:eastAsia="Times New Roman" w:hAnsi="Open Sans" w:cs="Open Sans"/>
          <w:color w:val="3A3A3A"/>
          <w:kern w:val="0"/>
          <w:lang w:eastAsia="es-CL"/>
          <w14:ligatures w14:val="none"/>
        </w:rPr>
        <w:t xml:space="preserve"> </w:t>
      </w:r>
      <w:r w:rsidRPr="00636E7B">
        <w:rPr>
          <w:rFonts w:ascii="Open Sans" w:eastAsia="Times New Roman" w:hAnsi="Open Sans" w:cs="Open Sans"/>
          <w:color w:val="3A3A3A"/>
          <w:kern w:val="0"/>
          <w:lang w:eastAsia="es-CL"/>
          <w14:ligatures w14:val="none"/>
        </w:rPr>
        <w:t>transcurso de esta campaña, la FAO ha sostenido que la LOI no constituía un compromiso o asociación formal, sino un “marco exploratorio que puede, o no, conducir a nuevas colaboraciones”.</w:t>
      </w:r>
    </w:p>
    <w:p w14:paraId="4CDF8B90" w14:textId="77777777" w:rsidR="00636E7B" w:rsidRPr="00636E7B" w:rsidRDefault="00636E7B" w:rsidP="00636E7B">
      <w:pPr>
        <w:spacing w:after="0"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 xml:space="preserve">Felicitamos a los dirigentes de la FAO por su decisión de no formalizar más su compromiso o asociación con </w:t>
      </w:r>
      <w:proofErr w:type="spellStart"/>
      <w:r w:rsidRPr="00636E7B">
        <w:rPr>
          <w:rFonts w:ascii="Open Sans" w:eastAsia="Times New Roman" w:hAnsi="Open Sans" w:cs="Open Sans"/>
          <w:color w:val="3A3A3A"/>
          <w:kern w:val="0"/>
          <w:lang w:eastAsia="es-CL"/>
          <w14:ligatures w14:val="none"/>
        </w:rPr>
        <w:t>CropLife</w:t>
      </w:r>
      <w:proofErr w:type="spellEnd"/>
      <w:r w:rsidRPr="00636E7B">
        <w:rPr>
          <w:rFonts w:ascii="Open Sans" w:eastAsia="Times New Roman" w:hAnsi="Open Sans" w:cs="Open Sans"/>
          <w:color w:val="3A3A3A"/>
          <w:kern w:val="0"/>
          <w:lang w:eastAsia="es-CL"/>
          <w14:ligatures w14:val="none"/>
        </w:rPr>
        <w:t>. Apreciamos y alentamos el papel que desempeña ahora la FAO </w:t>
      </w:r>
      <w:r w:rsidRPr="00636E7B">
        <w:rPr>
          <w:rFonts w:ascii="Open Sans" w:eastAsia="Times New Roman" w:hAnsi="Open Sans" w:cs="Open Sans"/>
          <w:color w:val="3A3A3A"/>
          <w:kern w:val="0"/>
          <w:u w:val="single"/>
          <w:lang w:eastAsia="es-CL"/>
          <w14:ligatures w14:val="none"/>
        </w:rPr>
        <w:t>para cumplir sus</w:t>
      </w:r>
      <w:r w:rsidRPr="00636E7B">
        <w:rPr>
          <w:rFonts w:ascii="Open Sans" w:eastAsia="Times New Roman" w:hAnsi="Open Sans" w:cs="Open Sans"/>
          <w:color w:val="3A3A3A"/>
          <w:kern w:val="0"/>
          <w:lang w:eastAsia="es-CL"/>
          <w14:ligatures w14:val="none"/>
        </w:rPr>
        <w:t> </w:t>
      </w:r>
      <w:r w:rsidRPr="00636E7B">
        <w:rPr>
          <w:rFonts w:ascii="Open Sans" w:eastAsia="Times New Roman" w:hAnsi="Open Sans" w:cs="Open Sans"/>
          <w:color w:val="3A3A3A"/>
          <w:kern w:val="0"/>
          <w:u w:val="single"/>
          <w:lang w:eastAsia="es-CL"/>
          <w14:ligatures w14:val="none"/>
        </w:rPr>
        <w:t>compromisos </w:t>
      </w:r>
      <w:r w:rsidRPr="00636E7B">
        <w:rPr>
          <w:rFonts w:ascii="Open Sans" w:eastAsia="Times New Roman" w:hAnsi="Open Sans" w:cs="Open Sans"/>
          <w:color w:val="3A3A3A"/>
          <w:kern w:val="0"/>
          <w:lang w:eastAsia="es-CL"/>
          <w14:ligatures w14:val="none"/>
        </w:rPr>
        <w:t>en el nuevo </w:t>
      </w:r>
      <w:hyperlink r:id="rId7" w:history="1">
        <w:r w:rsidRPr="00636E7B">
          <w:rPr>
            <w:rFonts w:ascii="Open Sans" w:eastAsia="Times New Roman" w:hAnsi="Open Sans" w:cs="Open Sans"/>
            <w:color w:val="008851"/>
            <w:kern w:val="0"/>
            <w:bdr w:val="none" w:sz="0" w:space="0" w:color="auto" w:frame="1"/>
            <w:lang w:eastAsia="es-CL"/>
            <w14:ligatures w14:val="none"/>
          </w:rPr>
          <w:t>Marco Mundial sobre Productos Químicos </w:t>
        </w:r>
      </w:hyperlink>
      <w:r w:rsidRPr="00636E7B">
        <w:rPr>
          <w:rFonts w:ascii="Open Sans" w:eastAsia="Times New Roman" w:hAnsi="Open Sans" w:cs="Open Sans"/>
          <w:color w:val="3A3A3A"/>
          <w:kern w:val="0"/>
          <w:lang w:eastAsia="es-CL"/>
          <w14:ligatures w14:val="none"/>
        </w:rPr>
        <w:t xml:space="preserve">(GFC, como son sus siglas en inglés) y liderar el trabajo para implementar estos compromisos a través de la </w:t>
      </w:r>
      <w:r w:rsidRPr="00636E7B">
        <w:rPr>
          <w:rFonts w:ascii="Open Sans" w:eastAsia="Times New Roman" w:hAnsi="Open Sans" w:cs="Open Sans"/>
          <w:b/>
          <w:bCs/>
          <w:color w:val="3A3A3A"/>
          <w:kern w:val="0"/>
          <w:lang w:eastAsia="es-CL"/>
          <w14:ligatures w14:val="none"/>
        </w:rPr>
        <w:t>Alianza Global sobre Plaguicidas Altamente Peligrosos (PAP, por sus siglas en español y HHP, por sus siglas en inglés),</w:t>
      </w:r>
      <w:r w:rsidRPr="00636E7B">
        <w:rPr>
          <w:rFonts w:ascii="Open Sans" w:eastAsia="Times New Roman" w:hAnsi="Open Sans" w:cs="Open Sans"/>
          <w:color w:val="3A3A3A"/>
          <w:kern w:val="0"/>
          <w:lang w:eastAsia="es-CL"/>
          <w14:ligatures w14:val="none"/>
        </w:rPr>
        <w:t xml:space="preserve"> en coordinación con la Organización Mundial de Salud (OMS) y el Programa de Medio Ambiente de las Naciones Unidas (PNUMA). La FAO tiene una oportunidad de oro para demostrar que logrará avances sustanciales en la eliminación gradual de los plaguicidas más peligrosos, conocidos como HHP (PAP) en todo el mundo, y que apoyará la transición hacia sistemas de producción sostenibles, resilientes y equitativos bajo el paradigma agroecológico.</w:t>
      </w:r>
    </w:p>
    <w:p w14:paraId="36F9DF5E" w14:textId="77777777"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Instamos a la FAO a no establecer ninguna asociación futura con la industria de plaguicidas, teniendo en cuenta que </w:t>
      </w:r>
      <w:r w:rsidRPr="00636E7B">
        <w:rPr>
          <w:rFonts w:ascii="Open Sans" w:eastAsia="Times New Roman" w:hAnsi="Open Sans" w:cs="Open Sans"/>
          <w:b/>
          <w:bCs/>
          <w:color w:val="3A3A3A"/>
          <w:kern w:val="0"/>
          <w:u w:val="single"/>
          <w:lang w:eastAsia="es-CL"/>
          <w14:ligatures w14:val="none"/>
        </w:rPr>
        <w:t>su marco de diligencia debida</w:t>
      </w:r>
      <w:r w:rsidRPr="00636E7B">
        <w:rPr>
          <w:rFonts w:ascii="Open Sans" w:eastAsia="Times New Roman" w:hAnsi="Open Sans" w:cs="Open Sans"/>
          <w:color w:val="3A3A3A"/>
          <w:kern w:val="0"/>
          <w:u w:val="single"/>
          <w:lang w:eastAsia="es-CL"/>
          <w14:ligatures w14:val="none"/>
        </w:rPr>
        <w:t> </w:t>
      </w:r>
      <w:r w:rsidRPr="00636E7B">
        <w:rPr>
          <w:rFonts w:ascii="Open Sans" w:eastAsia="Times New Roman" w:hAnsi="Open Sans" w:cs="Open Sans"/>
          <w:color w:val="3A3A3A"/>
          <w:kern w:val="0"/>
          <w:lang w:eastAsia="es-CL"/>
          <w14:ligatures w14:val="none"/>
        </w:rPr>
        <w:t>incluye conjuntos específicos de criterios de exclusión para sectores de alto riesgo y deja claro que la agencia no debe buscar asociaciones con entidades que no estén en cumplimiento de las obligaciones de derechos humanos o tienen el potencial de impactar negativamente a las comunidades y el medio ambiente.</w:t>
      </w:r>
    </w:p>
    <w:p w14:paraId="2AFADAA3" w14:textId="77777777"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Como organización de las Naciones Unidas, la FAO está obligada a servir el interés público y defender los derechos humanos. Para lograrlo, debe tomar medidas efectivas para </w:t>
      </w:r>
      <w:r w:rsidRPr="00636E7B">
        <w:rPr>
          <w:rFonts w:ascii="Open Sans" w:eastAsia="Times New Roman" w:hAnsi="Open Sans" w:cs="Open Sans"/>
          <w:color w:val="3A3A3A"/>
          <w:kern w:val="0"/>
          <w:u w:val="single"/>
          <w:lang w:eastAsia="es-CL"/>
          <w14:ligatures w14:val="none"/>
        </w:rPr>
        <w:t>poner fin a la influencia corporativa</w:t>
      </w:r>
      <w:r w:rsidRPr="00636E7B">
        <w:rPr>
          <w:rFonts w:ascii="Open Sans" w:eastAsia="Times New Roman" w:hAnsi="Open Sans" w:cs="Open Sans"/>
          <w:color w:val="3A3A3A"/>
          <w:kern w:val="0"/>
          <w:lang w:eastAsia="es-CL"/>
          <w14:ligatures w14:val="none"/>
        </w:rPr>
        <w:t> </w:t>
      </w:r>
      <w:r w:rsidRPr="00636E7B">
        <w:rPr>
          <w:rFonts w:ascii="Open Sans" w:eastAsia="Times New Roman" w:hAnsi="Open Sans" w:cs="Open Sans"/>
          <w:color w:val="3A3A3A"/>
          <w:kern w:val="0"/>
          <w:u w:val="single"/>
          <w:lang w:eastAsia="es-CL"/>
          <w14:ligatures w14:val="none"/>
        </w:rPr>
        <w:t>indebida </w:t>
      </w:r>
      <w:r w:rsidRPr="00636E7B">
        <w:rPr>
          <w:rFonts w:ascii="Open Sans" w:eastAsia="Times New Roman" w:hAnsi="Open Sans" w:cs="Open Sans"/>
          <w:color w:val="3A3A3A"/>
          <w:kern w:val="0"/>
          <w:lang w:eastAsia="es-CL"/>
          <w14:ligatures w14:val="none"/>
        </w:rPr>
        <w:t>en su dirección estratégica y su trabajo y, entre otras cosas, brindar total transparencia sobre las contribuciones voluntarias y sobre todos los compromisos con el sector empresarial. La FAO debería ampliar el alcance del nuevo marco de diligencia para incluir mecanismos de rendición de cuentas claros, accesibles y eficaces para abordar el deber de cuidado, las quejas, la responsabilidad y la reparación.</w:t>
      </w:r>
    </w:p>
    <w:p w14:paraId="74A26F9C" w14:textId="77777777" w:rsidR="00636E7B" w:rsidRP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 xml:space="preserve">Seguimos preocupados por los continuos compromisos informales de la FAO con </w:t>
      </w:r>
      <w:proofErr w:type="spellStart"/>
      <w:r w:rsidRPr="00636E7B">
        <w:rPr>
          <w:rFonts w:ascii="Open Sans" w:eastAsia="Times New Roman" w:hAnsi="Open Sans" w:cs="Open Sans"/>
          <w:color w:val="3A3A3A"/>
          <w:kern w:val="0"/>
          <w:lang w:eastAsia="es-CL"/>
          <w14:ligatures w14:val="none"/>
        </w:rPr>
        <w:t>CropLife</w:t>
      </w:r>
      <w:proofErr w:type="spellEnd"/>
      <w:r w:rsidRPr="00636E7B">
        <w:rPr>
          <w:rFonts w:ascii="Open Sans" w:eastAsia="Times New Roman" w:hAnsi="Open Sans" w:cs="Open Sans"/>
          <w:color w:val="3A3A3A"/>
          <w:kern w:val="0"/>
          <w:lang w:eastAsia="es-CL"/>
          <w14:ligatures w14:val="none"/>
        </w:rPr>
        <w:t xml:space="preserve"> y pedimos una mayor transparencia y rendición de cuentas a este respecto. Continuaremos monitoreando las acciones de la FAO y alentando a la Organización a dirigir sus compromisos y </w:t>
      </w:r>
      <w:r w:rsidRPr="00636E7B">
        <w:rPr>
          <w:rFonts w:ascii="Open Sans" w:eastAsia="Times New Roman" w:hAnsi="Open Sans" w:cs="Open Sans"/>
          <w:color w:val="3A3A3A"/>
          <w:kern w:val="0"/>
          <w:lang w:eastAsia="es-CL"/>
          <w14:ligatures w14:val="none"/>
        </w:rPr>
        <w:lastRenderedPageBreak/>
        <w:t>recursos hacia la eliminación gradual de los PAP, la reducción de la dependencia de plaguicidas y la transición a la agroecología. Para alcanzar estos objetivos, la FAO debe fortalecer su colaboración con organizaciones de pequeños proveedores de alimentos, pueblos indígenas y la sociedad civil.</w:t>
      </w:r>
    </w:p>
    <w:p w14:paraId="16A0B00E" w14:textId="77777777" w:rsidR="00636E7B" w:rsidRDefault="00636E7B" w:rsidP="00636E7B">
      <w:pPr>
        <w:spacing w:after="375" w:line="240" w:lineRule="auto"/>
        <w:rPr>
          <w:rFonts w:ascii="Open Sans" w:eastAsia="Times New Roman" w:hAnsi="Open Sans" w:cs="Open Sans"/>
          <w:color w:val="3A3A3A"/>
          <w:kern w:val="0"/>
          <w:lang w:eastAsia="es-CL"/>
          <w14:ligatures w14:val="none"/>
        </w:rPr>
      </w:pPr>
      <w:r w:rsidRPr="00636E7B">
        <w:rPr>
          <w:rFonts w:ascii="Open Sans" w:eastAsia="Times New Roman" w:hAnsi="Open Sans" w:cs="Open Sans"/>
          <w:color w:val="3A3A3A"/>
          <w:kern w:val="0"/>
          <w:lang w:eastAsia="es-CL"/>
          <w14:ligatures w14:val="none"/>
        </w:rPr>
        <w:t>Agradecemos sinceramente a todas las personas, organizaciones, pueblos y otros aliados que apoyaron la campaña para Detener a la #AlianzaTóxica. Sigamos garantizando que nuestros sistemas alimentarios mundiales no sean acaparados por intereses corporativos y prioricemos los derechos humanos y el planeta por encima de las ganancias.</w:t>
      </w:r>
    </w:p>
    <w:p w14:paraId="0B245034"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proofErr w:type="spellStart"/>
      <w:r w:rsidRPr="00E62125">
        <w:rPr>
          <w:rFonts w:ascii="Open Sans" w:eastAsia="Times New Roman" w:hAnsi="Open Sans" w:cs="Open Sans"/>
          <w:color w:val="3A3A3A"/>
          <w:kern w:val="0"/>
          <w:lang w:eastAsia="es-CL"/>
          <w14:ligatures w14:val="none"/>
        </w:rPr>
        <w:t>Pesticide</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Action</w:t>
      </w:r>
      <w:proofErr w:type="spellEnd"/>
      <w:r w:rsidRPr="00E62125">
        <w:rPr>
          <w:rFonts w:ascii="Open Sans" w:eastAsia="Times New Roman" w:hAnsi="Open Sans" w:cs="Open Sans"/>
          <w:color w:val="3A3A3A"/>
          <w:kern w:val="0"/>
          <w:lang w:eastAsia="es-CL"/>
          <w14:ligatures w14:val="none"/>
        </w:rPr>
        <w:t xml:space="preserve"> Network International - Red Internacional de Acción sobre Plaguicidas</w:t>
      </w:r>
    </w:p>
    <w:p w14:paraId="3AD041F7"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 xml:space="preserve">Alliance </w:t>
      </w:r>
      <w:proofErr w:type="spellStart"/>
      <w:r w:rsidRPr="00E62125">
        <w:rPr>
          <w:rFonts w:ascii="Open Sans" w:eastAsia="Times New Roman" w:hAnsi="Open Sans" w:cs="Open Sans"/>
          <w:color w:val="3A3A3A"/>
          <w:kern w:val="0"/>
          <w:lang w:eastAsia="es-CL"/>
          <w14:ligatures w14:val="none"/>
        </w:rPr>
        <w:t>for</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Food</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Sovereignty</w:t>
      </w:r>
      <w:proofErr w:type="spellEnd"/>
      <w:r w:rsidRPr="00E62125">
        <w:rPr>
          <w:rFonts w:ascii="Open Sans" w:eastAsia="Times New Roman" w:hAnsi="Open Sans" w:cs="Open Sans"/>
          <w:color w:val="3A3A3A"/>
          <w:kern w:val="0"/>
          <w:lang w:eastAsia="es-CL"/>
          <w14:ligatures w14:val="none"/>
        </w:rPr>
        <w:t xml:space="preserve"> in </w:t>
      </w:r>
      <w:proofErr w:type="spellStart"/>
      <w:r w:rsidRPr="00E62125">
        <w:rPr>
          <w:rFonts w:ascii="Open Sans" w:eastAsia="Times New Roman" w:hAnsi="Open Sans" w:cs="Open Sans"/>
          <w:color w:val="3A3A3A"/>
          <w:kern w:val="0"/>
          <w:lang w:eastAsia="es-CL"/>
          <w14:ligatures w14:val="none"/>
        </w:rPr>
        <w:t>Africa</w:t>
      </w:r>
      <w:proofErr w:type="spellEnd"/>
      <w:r w:rsidRPr="00E62125">
        <w:rPr>
          <w:rFonts w:ascii="Open Sans" w:eastAsia="Times New Roman" w:hAnsi="Open Sans" w:cs="Open Sans"/>
          <w:color w:val="3A3A3A"/>
          <w:kern w:val="0"/>
          <w:lang w:eastAsia="es-CL"/>
          <w14:ligatures w14:val="none"/>
        </w:rPr>
        <w:t xml:space="preserve"> (AFSA) - Alianza por la Soberanía Alimentaria en África</w:t>
      </w:r>
    </w:p>
    <w:p w14:paraId="50E6992E"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 xml:space="preserve">Center </w:t>
      </w:r>
      <w:proofErr w:type="spellStart"/>
      <w:r w:rsidRPr="00E62125">
        <w:rPr>
          <w:rFonts w:ascii="Open Sans" w:eastAsia="Times New Roman" w:hAnsi="Open Sans" w:cs="Open Sans"/>
          <w:color w:val="3A3A3A"/>
          <w:kern w:val="0"/>
          <w:lang w:eastAsia="es-CL"/>
          <w14:ligatures w14:val="none"/>
        </w:rPr>
        <w:t>for</w:t>
      </w:r>
      <w:proofErr w:type="spellEnd"/>
      <w:r w:rsidRPr="00E62125">
        <w:rPr>
          <w:rFonts w:ascii="Open Sans" w:eastAsia="Times New Roman" w:hAnsi="Open Sans" w:cs="Open Sans"/>
          <w:color w:val="3A3A3A"/>
          <w:kern w:val="0"/>
          <w:lang w:eastAsia="es-CL"/>
          <w14:ligatures w14:val="none"/>
        </w:rPr>
        <w:t xml:space="preserve"> International </w:t>
      </w:r>
      <w:proofErr w:type="spellStart"/>
      <w:r w:rsidRPr="00E62125">
        <w:rPr>
          <w:rFonts w:ascii="Open Sans" w:eastAsia="Times New Roman" w:hAnsi="Open Sans" w:cs="Open Sans"/>
          <w:color w:val="3A3A3A"/>
          <w:kern w:val="0"/>
          <w:lang w:eastAsia="es-CL"/>
          <w14:ligatures w14:val="none"/>
        </w:rPr>
        <w:t>Environmental</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Law</w:t>
      </w:r>
      <w:proofErr w:type="spellEnd"/>
      <w:r w:rsidRPr="00E62125">
        <w:rPr>
          <w:rFonts w:ascii="Open Sans" w:eastAsia="Times New Roman" w:hAnsi="Open Sans" w:cs="Open Sans"/>
          <w:color w:val="3A3A3A"/>
          <w:kern w:val="0"/>
          <w:lang w:eastAsia="es-CL"/>
          <w14:ligatures w14:val="none"/>
        </w:rPr>
        <w:t xml:space="preserve"> (CIEL) - Centro de Derecho Medioambiental Internacional</w:t>
      </w:r>
    </w:p>
    <w:p w14:paraId="4AC4570D"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FIAN International - Red Internacional de Acción e Información Sobre Alimentos Primero</w:t>
      </w:r>
    </w:p>
    <w:p w14:paraId="3105E9D1"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 xml:space="preserve">Friends </w:t>
      </w:r>
      <w:proofErr w:type="spellStart"/>
      <w:r w:rsidRPr="00E62125">
        <w:rPr>
          <w:rFonts w:ascii="Open Sans" w:eastAsia="Times New Roman" w:hAnsi="Open Sans" w:cs="Open Sans"/>
          <w:color w:val="3A3A3A"/>
          <w:kern w:val="0"/>
          <w:lang w:eastAsia="es-CL"/>
          <w14:ligatures w14:val="none"/>
        </w:rPr>
        <w:t>of</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the</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Earth</w:t>
      </w:r>
      <w:proofErr w:type="spellEnd"/>
      <w:r w:rsidRPr="00E62125">
        <w:rPr>
          <w:rFonts w:ascii="Open Sans" w:eastAsia="Times New Roman" w:hAnsi="Open Sans" w:cs="Open Sans"/>
          <w:color w:val="3A3A3A"/>
          <w:kern w:val="0"/>
          <w:lang w:eastAsia="es-CL"/>
          <w14:ligatures w14:val="none"/>
        </w:rPr>
        <w:t xml:space="preserve"> International - Amigos de la Tierra Internacional</w:t>
      </w:r>
    </w:p>
    <w:p w14:paraId="38079A7B"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proofErr w:type="spellStart"/>
      <w:r w:rsidRPr="00E62125">
        <w:rPr>
          <w:rFonts w:ascii="Open Sans" w:eastAsia="Times New Roman" w:hAnsi="Open Sans" w:cs="Open Sans"/>
          <w:color w:val="3A3A3A"/>
          <w:kern w:val="0"/>
          <w:lang w:eastAsia="es-CL"/>
          <w14:ligatures w14:val="none"/>
        </w:rPr>
        <w:t>Institute</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for</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Agriculture</w:t>
      </w:r>
      <w:proofErr w:type="spellEnd"/>
      <w:r w:rsidRPr="00E62125">
        <w:rPr>
          <w:rFonts w:ascii="Open Sans" w:eastAsia="Times New Roman" w:hAnsi="Open Sans" w:cs="Open Sans"/>
          <w:color w:val="3A3A3A"/>
          <w:kern w:val="0"/>
          <w:lang w:eastAsia="es-CL"/>
          <w14:ligatures w14:val="none"/>
        </w:rPr>
        <w:t xml:space="preserve"> and </w:t>
      </w:r>
      <w:proofErr w:type="spellStart"/>
      <w:r w:rsidRPr="00E62125">
        <w:rPr>
          <w:rFonts w:ascii="Open Sans" w:eastAsia="Times New Roman" w:hAnsi="Open Sans" w:cs="Open Sans"/>
          <w:color w:val="3A3A3A"/>
          <w:kern w:val="0"/>
          <w:lang w:eastAsia="es-CL"/>
          <w14:ligatures w14:val="none"/>
        </w:rPr>
        <w:t>Trade</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Policy</w:t>
      </w:r>
      <w:proofErr w:type="spellEnd"/>
      <w:r w:rsidRPr="00E62125">
        <w:rPr>
          <w:rFonts w:ascii="Open Sans" w:eastAsia="Times New Roman" w:hAnsi="Open Sans" w:cs="Open Sans"/>
          <w:color w:val="3A3A3A"/>
          <w:kern w:val="0"/>
          <w:lang w:eastAsia="es-CL"/>
          <w14:ligatures w14:val="none"/>
        </w:rPr>
        <w:t xml:space="preserve"> (IATP) - Instituto de Política Agrícola y Comercial</w:t>
      </w:r>
    </w:p>
    <w:p w14:paraId="1C536748"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 xml:space="preserve">International </w:t>
      </w:r>
      <w:proofErr w:type="spellStart"/>
      <w:r w:rsidRPr="00E62125">
        <w:rPr>
          <w:rFonts w:ascii="Open Sans" w:eastAsia="Times New Roman" w:hAnsi="Open Sans" w:cs="Open Sans"/>
          <w:color w:val="3A3A3A"/>
          <w:kern w:val="0"/>
          <w:lang w:eastAsia="es-CL"/>
          <w14:ligatures w14:val="none"/>
        </w:rPr>
        <w:t>Indian</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Treaty</w:t>
      </w:r>
      <w:proofErr w:type="spellEnd"/>
      <w:r w:rsidRPr="00E62125">
        <w:rPr>
          <w:rFonts w:ascii="Open Sans" w:eastAsia="Times New Roman" w:hAnsi="Open Sans" w:cs="Open Sans"/>
          <w:color w:val="3A3A3A"/>
          <w:kern w:val="0"/>
          <w:lang w:eastAsia="es-CL"/>
          <w14:ligatures w14:val="none"/>
        </w:rPr>
        <w:t xml:space="preserve"> Council (IITC) - Consejo Internacional de Tratados Indios</w:t>
      </w:r>
    </w:p>
    <w:p w14:paraId="1D686AFC"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 xml:space="preserve">International </w:t>
      </w:r>
      <w:proofErr w:type="spellStart"/>
      <w:r w:rsidRPr="00E62125">
        <w:rPr>
          <w:rFonts w:ascii="Open Sans" w:eastAsia="Times New Roman" w:hAnsi="Open Sans" w:cs="Open Sans"/>
          <w:color w:val="3A3A3A"/>
          <w:kern w:val="0"/>
          <w:lang w:eastAsia="es-CL"/>
          <w14:ligatures w14:val="none"/>
        </w:rPr>
        <w:t>Pollutants</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Elimination</w:t>
      </w:r>
      <w:proofErr w:type="spellEnd"/>
      <w:r w:rsidRPr="00E62125">
        <w:rPr>
          <w:rFonts w:ascii="Open Sans" w:eastAsia="Times New Roman" w:hAnsi="Open Sans" w:cs="Open Sans"/>
          <w:color w:val="3A3A3A"/>
          <w:kern w:val="0"/>
          <w:lang w:eastAsia="es-CL"/>
          <w14:ligatures w14:val="none"/>
        </w:rPr>
        <w:t xml:space="preserve"> Network (IPEN) - Red Internacional de Eliminación de Contaminantes</w:t>
      </w:r>
    </w:p>
    <w:p w14:paraId="40410AB6"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r w:rsidRPr="00E62125">
        <w:rPr>
          <w:rFonts w:ascii="Open Sans" w:eastAsia="Times New Roman" w:hAnsi="Open Sans" w:cs="Open Sans"/>
          <w:color w:val="3A3A3A"/>
          <w:kern w:val="0"/>
          <w:lang w:eastAsia="es-CL"/>
          <w14:ligatures w14:val="none"/>
        </w:rPr>
        <w:t xml:space="preserve">International </w:t>
      </w:r>
      <w:proofErr w:type="spellStart"/>
      <w:r w:rsidRPr="00E62125">
        <w:rPr>
          <w:rFonts w:ascii="Open Sans" w:eastAsia="Times New Roman" w:hAnsi="Open Sans" w:cs="Open Sans"/>
          <w:color w:val="3A3A3A"/>
          <w:kern w:val="0"/>
          <w:lang w:eastAsia="es-CL"/>
          <w14:ligatures w14:val="none"/>
        </w:rPr>
        <w:t>Union</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of</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Food</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Agricultural</w:t>
      </w:r>
      <w:proofErr w:type="spellEnd"/>
      <w:r w:rsidRPr="00E62125">
        <w:rPr>
          <w:rFonts w:ascii="Open Sans" w:eastAsia="Times New Roman" w:hAnsi="Open Sans" w:cs="Open Sans"/>
          <w:color w:val="3A3A3A"/>
          <w:kern w:val="0"/>
          <w:lang w:eastAsia="es-CL"/>
          <w14:ligatures w14:val="none"/>
        </w:rPr>
        <w:t xml:space="preserve">, Hotel, Restaurant, Catering, </w:t>
      </w:r>
      <w:proofErr w:type="spellStart"/>
      <w:r w:rsidRPr="00E62125">
        <w:rPr>
          <w:rFonts w:ascii="Open Sans" w:eastAsia="Times New Roman" w:hAnsi="Open Sans" w:cs="Open Sans"/>
          <w:color w:val="3A3A3A"/>
          <w:kern w:val="0"/>
          <w:lang w:eastAsia="es-CL"/>
          <w14:ligatures w14:val="none"/>
        </w:rPr>
        <w:t>Tobacco</w:t>
      </w:r>
      <w:proofErr w:type="spellEnd"/>
      <w:r w:rsidRPr="00E62125">
        <w:rPr>
          <w:rFonts w:ascii="Open Sans" w:eastAsia="Times New Roman" w:hAnsi="Open Sans" w:cs="Open Sans"/>
          <w:color w:val="3A3A3A"/>
          <w:kern w:val="0"/>
          <w:lang w:eastAsia="es-CL"/>
          <w14:ligatures w14:val="none"/>
        </w:rPr>
        <w:t xml:space="preserve"> and </w:t>
      </w:r>
      <w:proofErr w:type="spellStart"/>
      <w:r w:rsidRPr="00E62125">
        <w:rPr>
          <w:rFonts w:ascii="Open Sans" w:eastAsia="Times New Roman" w:hAnsi="Open Sans" w:cs="Open Sans"/>
          <w:color w:val="3A3A3A"/>
          <w:kern w:val="0"/>
          <w:lang w:eastAsia="es-CL"/>
          <w14:ligatures w14:val="none"/>
        </w:rPr>
        <w:t>Allied</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Workers</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Associations</w:t>
      </w:r>
      <w:proofErr w:type="spellEnd"/>
      <w:r w:rsidRPr="00E62125">
        <w:rPr>
          <w:rFonts w:ascii="Open Sans" w:eastAsia="Times New Roman" w:hAnsi="Open Sans" w:cs="Open Sans"/>
          <w:color w:val="3A3A3A"/>
          <w:kern w:val="0"/>
          <w:lang w:eastAsia="es-CL"/>
          <w14:ligatures w14:val="none"/>
        </w:rPr>
        <w:t xml:space="preserve"> (IUF) - Unión Internacional de Asociaciones de Trabajadores de la Alimentación, Agricultura, Hoteles, Restaurantes, Tabaco y Afines</w:t>
      </w:r>
    </w:p>
    <w:p w14:paraId="58AF7E3F" w14:textId="77777777" w:rsidR="00E62125" w:rsidRPr="00E62125" w:rsidRDefault="00E62125" w:rsidP="00E62125">
      <w:pPr>
        <w:spacing w:after="375" w:line="240" w:lineRule="auto"/>
        <w:rPr>
          <w:rFonts w:ascii="Open Sans" w:eastAsia="Times New Roman" w:hAnsi="Open Sans" w:cs="Open Sans"/>
          <w:color w:val="3A3A3A"/>
          <w:kern w:val="0"/>
          <w:lang w:eastAsia="es-CL"/>
          <w14:ligatures w14:val="none"/>
        </w:rPr>
      </w:pPr>
      <w:proofErr w:type="spellStart"/>
      <w:r w:rsidRPr="00E62125">
        <w:rPr>
          <w:rFonts w:ascii="Open Sans" w:eastAsia="Times New Roman" w:hAnsi="Open Sans" w:cs="Open Sans"/>
          <w:color w:val="3A3A3A"/>
          <w:kern w:val="0"/>
          <w:lang w:eastAsia="es-CL"/>
          <w14:ligatures w14:val="none"/>
        </w:rPr>
        <w:t>Public</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Eye</w:t>
      </w:r>
      <w:proofErr w:type="spellEnd"/>
      <w:r w:rsidRPr="00E62125">
        <w:rPr>
          <w:rFonts w:ascii="Open Sans" w:eastAsia="Times New Roman" w:hAnsi="Open Sans" w:cs="Open Sans"/>
          <w:color w:val="3A3A3A"/>
          <w:kern w:val="0"/>
          <w:lang w:eastAsia="es-CL"/>
          <w14:ligatures w14:val="none"/>
        </w:rPr>
        <w:t xml:space="preserve"> - Ojo Público</w:t>
      </w:r>
    </w:p>
    <w:p w14:paraId="6C807F44" w14:textId="7757E6DB" w:rsidR="00E62125" w:rsidRPr="00636E7B" w:rsidRDefault="00E62125" w:rsidP="00E62125">
      <w:pPr>
        <w:spacing w:after="375" w:line="240" w:lineRule="auto"/>
        <w:rPr>
          <w:rFonts w:ascii="Open Sans" w:eastAsia="Times New Roman" w:hAnsi="Open Sans" w:cs="Open Sans"/>
          <w:color w:val="3A3A3A"/>
          <w:kern w:val="0"/>
          <w:lang w:eastAsia="es-CL"/>
          <w14:ligatures w14:val="none"/>
        </w:rPr>
      </w:pPr>
      <w:proofErr w:type="spellStart"/>
      <w:r w:rsidRPr="00E62125">
        <w:rPr>
          <w:rFonts w:ascii="Open Sans" w:eastAsia="Times New Roman" w:hAnsi="Open Sans" w:cs="Open Sans"/>
          <w:color w:val="3A3A3A"/>
          <w:kern w:val="0"/>
          <w:lang w:eastAsia="es-CL"/>
          <w14:ligatures w14:val="none"/>
        </w:rPr>
        <w:t>Third</w:t>
      </w:r>
      <w:proofErr w:type="spellEnd"/>
      <w:r w:rsidRPr="00E62125">
        <w:rPr>
          <w:rFonts w:ascii="Open Sans" w:eastAsia="Times New Roman" w:hAnsi="Open Sans" w:cs="Open Sans"/>
          <w:color w:val="3A3A3A"/>
          <w:kern w:val="0"/>
          <w:lang w:eastAsia="es-CL"/>
          <w14:ligatures w14:val="none"/>
        </w:rPr>
        <w:t xml:space="preserve"> </w:t>
      </w:r>
      <w:proofErr w:type="spellStart"/>
      <w:r w:rsidRPr="00E62125">
        <w:rPr>
          <w:rFonts w:ascii="Open Sans" w:eastAsia="Times New Roman" w:hAnsi="Open Sans" w:cs="Open Sans"/>
          <w:color w:val="3A3A3A"/>
          <w:kern w:val="0"/>
          <w:lang w:eastAsia="es-CL"/>
          <w14:ligatures w14:val="none"/>
        </w:rPr>
        <w:t>World</w:t>
      </w:r>
      <w:proofErr w:type="spellEnd"/>
      <w:r w:rsidRPr="00E62125">
        <w:rPr>
          <w:rFonts w:ascii="Open Sans" w:eastAsia="Times New Roman" w:hAnsi="Open Sans" w:cs="Open Sans"/>
          <w:color w:val="3A3A3A"/>
          <w:kern w:val="0"/>
          <w:lang w:eastAsia="es-CL"/>
          <w14:ligatures w14:val="none"/>
        </w:rPr>
        <w:t xml:space="preserve"> Network - Red del Tercer Mundo</w:t>
      </w:r>
    </w:p>
    <w:sectPr w:rsidR="00E62125" w:rsidRPr="00636E7B" w:rsidSect="00636E7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7D18"/>
    <w:multiLevelType w:val="multilevel"/>
    <w:tmpl w:val="9E5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00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7B"/>
    <w:rsid w:val="002D06DB"/>
    <w:rsid w:val="00636E7B"/>
    <w:rsid w:val="00E402F0"/>
    <w:rsid w:val="00E621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0B7F"/>
  <w15:chartTrackingRefBased/>
  <w15:docId w15:val="{B6780466-DA61-4369-964A-6CFE1A29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6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6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6E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6E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6E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6E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6E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6E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6E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E7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6E7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6E7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6E7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6E7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6E7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6E7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6E7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6E7B"/>
    <w:rPr>
      <w:rFonts w:eastAsiaTheme="majorEastAsia" w:cstheme="majorBidi"/>
      <w:color w:val="272727" w:themeColor="text1" w:themeTint="D8"/>
    </w:rPr>
  </w:style>
  <w:style w:type="paragraph" w:styleId="Ttulo">
    <w:name w:val="Title"/>
    <w:basedOn w:val="Normal"/>
    <w:next w:val="Normal"/>
    <w:link w:val="TtuloCar"/>
    <w:uiPriority w:val="10"/>
    <w:qFormat/>
    <w:rsid w:val="00636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6E7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6E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6E7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6E7B"/>
    <w:pPr>
      <w:spacing w:before="160"/>
      <w:jc w:val="center"/>
    </w:pPr>
    <w:rPr>
      <w:i/>
      <w:iCs/>
      <w:color w:val="404040" w:themeColor="text1" w:themeTint="BF"/>
    </w:rPr>
  </w:style>
  <w:style w:type="character" w:customStyle="1" w:styleId="CitaCar">
    <w:name w:val="Cita Car"/>
    <w:basedOn w:val="Fuentedeprrafopredeter"/>
    <w:link w:val="Cita"/>
    <w:uiPriority w:val="29"/>
    <w:rsid w:val="00636E7B"/>
    <w:rPr>
      <w:i/>
      <w:iCs/>
      <w:color w:val="404040" w:themeColor="text1" w:themeTint="BF"/>
    </w:rPr>
  </w:style>
  <w:style w:type="paragraph" w:styleId="Prrafodelista">
    <w:name w:val="List Paragraph"/>
    <w:basedOn w:val="Normal"/>
    <w:uiPriority w:val="34"/>
    <w:qFormat/>
    <w:rsid w:val="00636E7B"/>
    <w:pPr>
      <w:ind w:left="720"/>
      <w:contextualSpacing/>
    </w:pPr>
  </w:style>
  <w:style w:type="character" w:styleId="nfasisintenso">
    <w:name w:val="Intense Emphasis"/>
    <w:basedOn w:val="Fuentedeprrafopredeter"/>
    <w:uiPriority w:val="21"/>
    <w:qFormat/>
    <w:rsid w:val="00636E7B"/>
    <w:rPr>
      <w:i/>
      <w:iCs/>
      <w:color w:val="0F4761" w:themeColor="accent1" w:themeShade="BF"/>
    </w:rPr>
  </w:style>
  <w:style w:type="paragraph" w:styleId="Citadestacada">
    <w:name w:val="Intense Quote"/>
    <w:basedOn w:val="Normal"/>
    <w:next w:val="Normal"/>
    <w:link w:val="CitadestacadaCar"/>
    <w:uiPriority w:val="30"/>
    <w:qFormat/>
    <w:rsid w:val="00636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6E7B"/>
    <w:rPr>
      <w:i/>
      <w:iCs/>
      <w:color w:val="0F4761" w:themeColor="accent1" w:themeShade="BF"/>
    </w:rPr>
  </w:style>
  <w:style w:type="character" w:styleId="Referenciaintensa">
    <w:name w:val="Intense Reference"/>
    <w:basedOn w:val="Fuentedeprrafopredeter"/>
    <w:uiPriority w:val="32"/>
    <w:qFormat/>
    <w:rsid w:val="00636E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116217">
      <w:bodyDiv w:val="1"/>
      <w:marLeft w:val="0"/>
      <w:marRight w:val="0"/>
      <w:marTop w:val="0"/>
      <w:marBottom w:val="0"/>
      <w:divBdr>
        <w:top w:val="none" w:sz="0" w:space="0" w:color="auto"/>
        <w:left w:val="none" w:sz="0" w:space="0" w:color="auto"/>
        <w:bottom w:val="none" w:sz="0" w:space="0" w:color="auto"/>
        <w:right w:val="none" w:sz="0" w:space="0" w:color="auto"/>
      </w:divBdr>
      <w:divsChild>
        <w:div w:id="595938701">
          <w:marLeft w:val="0"/>
          <w:marRight w:val="0"/>
          <w:marTop w:val="0"/>
          <w:marBottom w:val="0"/>
          <w:divBdr>
            <w:top w:val="none" w:sz="0" w:space="0" w:color="auto"/>
            <w:left w:val="none" w:sz="0" w:space="0" w:color="auto"/>
            <w:bottom w:val="none" w:sz="0" w:space="0" w:color="auto"/>
            <w:right w:val="none" w:sz="0" w:space="0" w:color="auto"/>
          </w:divBdr>
          <w:divsChild>
            <w:div w:id="775250491">
              <w:marLeft w:val="0"/>
              <w:marRight w:val="0"/>
              <w:marTop w:val="0"/>
              <w:marBottom w:val="0"/>
              <w:divBdr>
                <w:top w:val="none" w:sz="0" w:space="0" w:color="auto"/>
                <w:left w:val="none" w:sz="0" w:space="0" w:color="auto"/>
                <w:bottom w:val="none" w:sz="0" w:space="0" w:color="auto"/>
                <w:right w:val="none" w:sz="0" w:space="0" w:color="auto"/>
              </w:divBdr>
            </w:div>
            <w:div w:id="1383752854">
              <w:marLeft w:val="0"/>
              <w:marRight w:val="0"/>
              <w:marTop w:val="0"/>
              <w:marBottom w:val="0"/>
              <w:divBdr>
                <w:top w:val="none" w:sz="0" w:space="0" w:color="auto"/>
                <w:left w:val="none" w:sz="0" w:space="0" w:color="auto"/>
                <w:bottom w:val="none" w:sz="0" w:space="0" w:color="auto"/>
                <w:right w:val="none" w:sz="0" w:space="0" w:color="auto"/>
              </w:divBdr>
              <w:divsChild>
                <w:div w:id="821851663">
                  <w:marLeft w:val="0"/>
                  <w:marRight w:val="0"/>
                  <w:marTop w:val="0"/>
                  <w:marBottom w:val="300"/>
                  <w:divBdr>
                    <w:top w:val="none" w:sz="0" w:space="0" w:color="auto"/>
                    <w:left w:val="none" w:sz="0" w:space="0" w:color="auto"/>
                    <w:bottom w:val="none" w:sz="0" w:space="0" w:color="auto"/>
                    <w:right w:val="none" w:sz="0" w:space="0" w:color="auto"/>
                  </w:divBdr>
                </w:div>
              </w:divsChild>
            </w:div>
            <w:div w:id="408969123">
              <w:marLeft w:val="0"/>
              <w:marRight w:val="0"/>
              <w:marTop w:val="450"/>
              <w:marBottom w:val="450"/>
              <w:divBdr>
                <w:top w:val="single" w:sz="6" w:space="8" w:color="B8B8B8"/>
                <w:left w:val="none" w:sz="0" w:space="0" w:color="auto"/>
                <w:bottom w:val="none" w:sz="0" w:space="0" w:color="auto"/>
                <w:right w:val="none" w:sz="0" w:space="0" w:color="auto"/>
              </w:divBdr>
              <w:divsChild>
                <w:div w:id="1696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ep.org/resources/global-framework-chemicals-planet-free-harm-chemicals-and-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pan-international.org/wp-content/uploads/image002.gi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Rozas</dc:creator>
  <cp:keywords/>
  <dc:description/>
  <cp:lastModifiedBy>Maria Elena Rozas</cp:lastModifiedBy>
  <cp:revision>1</cp:revision>
  <dcterms:created xsi:type="dcterms:W3CDTF">2024-06-10T14:47:00Z</dcterms:created>
  <dcterms:modified xsi:type="dcterms:W3CDTF">2024-06-10T20:08:00Z</dcterms:modified>
</cp:coreProperties>
</file>